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rPr>
      </w:pPr>
      <w:r>
        <w:rPr>
          <w:rFonts w:hint="eastAsia" w:ascii="黑体" w:hAnsi="黑体" w:eastAsia="黑体"/>
        </w:rPr>
        <w:t>附件4</w:t>
      </w:r>
      <w:r>
        <w:rPr>
          <w:rFonts w:hint="eastAsia" w:ascii="仿宋_GB2312" w:eastAsia="仿宋_GB2312"/>
          <w:lang w:val="en-US" w:eastAsia="zh-CN"/>
        </w:rPr>
        <w:t>8</w:t>
      </w:r>
    </w:p>
    <w:p>
      <w:pPr>
        <w:jc w:val="center"/>
        <w:rPr>
          <w:rFonts w:ascii="方正小标宋简体" w:eastAsia="方正小标宋简体"/>
          <w:sz w:val="44"/>
          <w:szCs w:val="44"/>
        </w:rPr>
      </w:pPr>
      <w:r>
        <w:rPr>
          <w:rFonts w:hint="eastAsia" w:ascii="方正小标宋简体" w:eastAsia="方正小标宋简体"/>
          <w:sz w:val="44"/>
          <w:szCs w:val="44"/>
        </w:rPr>
        <w:t>石城县电子商务进农村综合示范“升级版”项目基本信息及进度情况表</w:t>
      </w:r>
    </w:p>
    <w:p>
      <w:pPr>
        <w:pStyle w:val="4"/>
        <w:jc w:val="center"/>
        <w:rPr>
          <w:rFonts w:hint="eastAsia" w:ascii="仿宋_GB2312" w:eastAsia="仿宋_GB2312"/>
          <w:lang w:val="en-US"/>
        </w:rPr>
      </w:pPr>
      <w:r>
        <w:rPr>
          <w:rFonts w:hint="eastAsia" w:ascii="仿宋_GB2312" w:eastAsia="仿宋_GB2312"/>
          <w:lang w:val="en-US"/>
        </w:rPr>
        <w:t>（截止202</w:t>
      </w:r>
      <w:r>
        <w:rPr>
          <w:rFonts w:hint="eastAsia" w:ascii="仿宋_GB2312" w:eastAsia="仿宋_GB2312"/>
          <w:lang w:val="en-US" w:eastAsia="zh-CN"/>
        </w:rPr>
        <w:t>3</w:t>
      </w:r>
      <w:r>
        <w:rPr>
          <w:rFonts w:hint="eastAsia" w:ascii="仿宋_GB2312" w:eastAsia="仿宋_GB2312"/>
          <w:lang w:val="en-US"/>
        </w:rPr>
        <w:t>年</w:t>
      </w:r>
      <w:r>
        <w:rPr>
          <w:rFonts w:hint="eastAsia" w:ascii="仿宋_GB2312" w:eastAsia="仿宋_GB2312"/>
          <w:lang w:val="en-US" w:eastAsia="zh-CN"/>
        </w:rPr>
        <w:t>7月</w:t>
      </w:r>
      <w:bookmarkStart w:id="1" w:name="_GoBack"/>
      <w:bookmarkEnd w:id="1"/>
      <w:r>
        <w:rPr>
          <w:rFonts w:hint="eastAsia" w:ascii="仿宋_GB2312" w:eastAsia="仿宋_GB2312"/>
          <w:lang w:val="en-US" w:eastAsia="zh-CN"/>
        </w:rPr>
        <w:t>20</w:t>
      </w:r>
      <w:r>
        <w:rPr>
          <w:rFonts w:hint="eastAsia" w:ascii="仿宋_GB2312" w:eastAsia="仿宋_GB2312"/>
          <w:lang w:val="en-US"/>
        </w:rPr>
        <w:t>日）</w:t>
      </w:r>
    </w:p>
    <w:tbl>
      <w:tblPr>
        <w:tblStyle w:val="11"/>
        <w:tblW w:w="193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1050"/>
        <w:gridCol w:w="1150"/>
        <w:gridCol w:w="4781"/>
        <w:gridCol w:w="1020"/>
        <w:gridCol w:w="1515"/>
        <w:gridCol w:w="2590"/>
        <w:gridCol w:w="1452"/>
        <w:gridCol w:w="851"/>
        <w:gridCol w:w="960"/>
        <w:gridCol w:w="939"/>
        <w:gridCol w:w="1400"/>
        <w:gridCol w:w="792"/>
      </w:tblGrid>
      <w:tr>
        <w:tblPrEx>
          <w:tblLayout w:type="fixed"/>
          <w:tblCellMar>
            <w:top w:w="0" w:type="dxa"/>
            <w:left w:w="108" w:type="dxa"/>
            <w:bottom w:w="0" w:type="dxa"/>
            <w:right w:w="108" w:type="dxa"/>
          </w:tblCellMar>
        </w:tblPrEx>
        <w:trPr>
          <w:trHeight w:val="971" w:hRule="atLeast"/>
          <w:jc w:val="center"/>
        </w:trPr>
        <w:tc>
          <w:tcPr>
            <w:tcW w:w="886" w:type="dxa"/>
            <w:vMerge w:val="restart"/>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序号</w:t>
            </w:r>
          </w:p>
        </w:tc>
        <w:tc>
          <w:tcPr>
            <w:tcW w:w="1050" w:type="dxa"/>
            <w:vMerge w:val="restart"/>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决策文件</w:t>
            </w:r>
          </w:p>
        </w:tc>
        <w:tc>
          <w:tcPr>
            <w:tcW w:w="1150" w:type="dxa"/>
            <w:vMerge w:val="restart"/>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项目名称</w:t>
            </w:r>
          </w:p>
        </w:tc>
        <w:tc>
          <w:tcPr>
            <w:tcW w:w="4781" w:type="dxa"/>
            <w:vMerge w:val="restart"/>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建设内容和要求</w:t>
            </w:r>
          </w:p>
        </w:tc>
        <w:tc>
          <w:tcPr>
            <w:tcW w:w="1020" w:type="dxa"/>
            <w:vMerge w:val="restart"/>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资金额度（万元）</w:t>
            </w:r>
          </w:p>
        </w:tc>
        <w:tc>
          <w:tcPr>
            <w:tcW w:w="1515" w:type="dxa"/>
            <w:vMerge w:val="restart"/>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绩效目标</w:t>
            </w:r>
          </w:p>
        </w:tc>
        <w:tc>
          <w:tcPr>
            <w:tcW w:w="2590" w:type="dxa"/>
            <w:vMerge w:val="restart"/>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完成情况</w:t>
            </w:r>
          </w:p>
        </w:tc>
        <w:tc>
          <w:tcPr>
            <w:tcW w:w="1452" w:type="dxa"/>
            <w:vMerge w:val="restart"/>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承办单位</w:t>
            </w:r>
          </w:p>
        </w:tc>
        <w:tc>
          <w:tcPr>
            <w:tcW w:w="851" w:type="dxa"/>
            <w:vMerge w:val="restart"/>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责任人</w:t>
            </w:r>
          </w:p>
        </w:tc>
        <w:tc>
          <w:tcPr>
            <w:tcW w:w="1899" w:type="dxa"/>
            <w:gridSpan w:val="2"/>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资金使用情况</w:t>
            </w:r>
          </w:p>
        </w:tc>
        <w:tc>
          <w:tcPr>
            <w:tcW w:w="1400" w:type="dxa"/>
            <w:vMerge w:val="restart"/>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其它事项</w:t>
            </w:r>
          </w:p>
        </w:tc>
        <w:tc>
          <w:tcPr>
            <w:tcW w:w="792" w:type="dxa"/>
            <w:vAlign w:val="center"/>
          </w:tcPr>
          <w:p>
            <w:pPr>
              <w:jc w:val="center"/>
              <w:rPr>
                <w:rFonts w:hint="eastAsia" w:ascii="仿宋_GB2312" w:hAnsi="仿宋_GB2312" w:eastAsia="仿宋_GB2312" w:cs="仿宋_GB2312"/>
                <w:color w:val="auto"/>
                <w:sz w:val="28"/>
                <w:szCs w:val="28"/>
              </w:rPr>
            </w:pPr>
          </w:p>
        </w:tc>
      </w:tr>
      <w:tr>
        <w:tblPrEx>
          <w:tblLayout w:type="fixed"/>
          <w:tblCellMar>
            <w:top w:w="0" w:type="dxa"/>
            <w:left w:w="108" w:type="dxa"/>
            <w:bottom w:w="0" w:type="dxa"/>
            <w:right w:w="108" w:type="dxa"/>
          </w:tblCellMar>
        </w:tblPrEx>
        <w:trPr>
          <w:trHeight w:val="971" w:hRule="atLeast"/>
          <w:jc w:val="center"/>
        </w:trPr>
        <w:tc>
          <w:tcPr>
            <w:tcW w:w="886" w:type="dxa"/>
            <w:vMerge w:val="continue"/>
            <w:vAlign w:val="center"/>
          </w:tcPr>
          <w:p>
            <w:pPr>
              <w:jc w:val="center"/>
              <w:rPr>
                <w:rFonts w:hint="eastAsia" w:ascii="仿宋_GB2312" w:hAnsi="仿宋_GB2312" w:eastAsia="仿宋_GB2312" w:cs="仿宋_GB2312"/>
                <w:color w:val="auto"/>
                <w:sz w:val="28"/>
                <w:szCs w:val="28"/>
              </w:rPr>
            </w:pPr>
          </w:p>
        </w:tc>
        <w:tc>
          <w:tcPr>
            <w:tcW w:w="1050" w:type="dxa"/>
            <w:vMerge w:val="continue"/>
            <w:vAlign w:val="center"/>
          </w:tcPr>
          <w:p>
            <w:pPr>
              <w:jc w:val="center"/>
              <w:rPr>
                <w:rFonts w:hint="eastAsia" w:ascii="仿宋_GB2312" w:hAnsi="仿宋_GB2312" w:eastAsia="仿宋_GB2312" w:cs="仿宋_GB2312"/>
                <w:color w:val="auto"/>
                <w:sz w:val="28"/>
                <w:szCs w:val="28"/>
              </w:rPr>
            </w:pPr>
          </w:p>
        </w:tc>
        <w:tc>
          <w:tcPr>
            <w:tcW w:w="1150" w:type="dxa"/>
            <w:vMerge w:val="continue"/>
            <w:vAlign w:val="center"/>
          </w:tcPr>
          <w:p>
            <w:pPr>
              <w:jc w:val="center"/>
              <w:rPr>
                <w:rFonts w:hint="eastAsia" w:ascii="仿宋_GB2312" w:hAnsi="仿宋_GB2312" w:eastAsia="仿宋_GB2312" w:cs="仿宋_GB2312"/>
                <w:color w:val="auto"/>
                <w:sz w:val="28"/>
                <w:szCs w:val="28"/>
              </w:rPr>
            </w:pPr>
          </w:p>
        </w:tc>
        <w:tc>
          <w:tcPr>
            <w:tcW w:w="4781" w:type="dxa"/>
            <w:vMerge w:val="continue"/>
            <w:vAlign w:val="center"/>
          </w:tcPr>
          <w:p>
            <w:pPr>
              <w:jc w:val="center"/>
              <w:rPr>
                <w:rFonts w:hint="eastAsia" w:ascii="仿宋_GB2312" w:hAnsi="仿宋_GB2312" w:eastAsia="仿宋_GB2312" w:cs="仿宋_GB2312"/>
                <w:color w:val="auto"/>
                <w:sz w:val="28"/>
                <w:szCs w:val="28"/>
              </w:rPr>
            </w:pPr>
          </w:p>
        </w:tc>
        <w:tc>
          <w:tcPr>
            <w:tcW w:w="1020" w:type="dxa"/>
            <w:vMerge w:val="continue"/>
            <w:vAlign w:val="center"/>
          </w:tcPr>
          <w:p>
            <w:pPr>
              <w:jc w:val="center"/>
              <w:rPr>
                <w:rFonts w:hint="eastAsia" w:ascii="仿宋_GB2312" w:hAnsi="仿宋_GB2312" w:eastAsia="仿宋_GB2312" w:cs="仿宋_GB2312"/>
                <w:color w:val="auto"/>
                <w:sz w:val="28"/>
                <w:szCs w:val="28"/>
              </w:rPr>
            </w:pPr>
          </w:p>
        </w:tc>
        <w:tc>
          <w:tcPr>
            <w:tcW w:w="1515" w:type="dxa"/>
            <w:vMerge w:val="continue"/>
            <w:vAlign w:val="center"/>
          </w:tcPr>
          <w:p>
            <w:pPr>
              <w:jc w:val="center"/>
              <w:rPr>
                <w:rFonts w:hint="eastAsia" w:ascii="仿宋_GB2312" w:hAnsi="仿宋_GB2312" w:eastAsia="仿宋_GB2312" w:cs="仿宋_GB2312"/>
                <w:color w:val="auto"/>
                <w:sz w:val="28"/>
                <w:szCs w:val="28"/>
              </w:rPr>
            </w:pPr>
          </w:p>
        </w:tc>
        <w:tc>
          <w:tcPr>
            <w:tcW w:w="2590" w:type="dxa"/>
            <w:vMerge w:val="continue"/>
            <w:vAlign w:val="center"/>
          </w:tcPr>
          <w:p>
            <w:pPr>
              <w:jc w:val="center"/>
              <w:rPr>
                <w:rFonts w:hint="eastAsia" w:ascii="仿宋_GB2312" w:hAnsi="仿宋_GB2312" w:eastAsia="仿宋_GB2312" w:cs="仿宋_GB2312"/>
                <w:color w:val="auto"/>
                <w:sz w:val="28"/>
                <w:szCs w:val="28"/>
              </w:rPr>
            </w:pPr>
          </w:p>
        </w:tc>
        <w:tc>
          <w:tcPr>
            <w:tcW w:w="1452" w:type="dxa"/>
            <w:vMerge w:val="continue"/>
            <w:vAlign w:val="center"/>
          </w:tcPr>
          <w:p>
            <w:pPr>
              <w:jc w:val="center"/>
              <w:rPr>
                <w:rFonts w:hint="eastAsia" w:ascii="仿宋_GB2312" w:hAnsi="仿宋_GB2312" w:eastAsia="仿宋_GB2312" w:cs="仿宋_GB2312"/>
                <w:color w:val="auto"/>
                <w:sz w:val="28"/>
                <w:szCs w:val="28"/>
              </w:rPr>
            </w:pPr>
          </w:p>
        </w:tc>
        <w:tc>
          <w:tcPr>
            <w:tcW w:w="851" w:type="dxa"/>
            <w:vMerge w:val="continue"/>
            <w:vAlign w:val="center"/>
          </w:tcPr>
          <w:p>
            <w:pPr>
              <w:jc w:val="center"/>
              <w:rPr>
                <w:rFonts w:hint="eastAsia" w:ascii="仿宋_GB2312" w:hAnsi="仿宋_GB2312" w:eastAsia="仿宋_GB2312" w:cs="仿宋_GB2312"/>
                <w:color w:val="auto"/>
                <w:sz w:val="28"/>
                <w:szCs w:val="28"/>
              </w:rPr>
            </w:pPr>
          </w:p>
        </w:tc>
        <w:tc>
          <w:tcPr>
            <w:tcW w:w="960" w:type="dxa"/>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w:t>
            </w:r>
          </w:p>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资金</w:t>
            </w:r>
          </w:p>
        </w:tc>
        <w:tc>
          <w:tcPr>
            <w:tcW w:w="939" w:type="dxa"/>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已拨付</w:t>
            </w:r>
          </w:p>
        </w:tc>
        <w:tc>
          <w:tcPr>
            <w:tcW w:w="1400" w:type="dxa"/>
            <w:vMerge w:val="continue"/>
            <w:vAlign w:val="center"/>
          </w:tcPr>
          <w:p>
            <w:pPr>
              <w:jc w:val="center"/>
              <w:rPr>
                <w:rFonts w:hint="eastAsia" w:ascii="仿宋_GB2312" w:hAnsi="仿宋_GB2312" w:eastAsia="仿宋_GB2312" w:cs="仿宋_GB2312"/>
                <w:color w:val="auto"/>
                <w:sz w:val="28"/>
                <w:szCs w:val="28"/>
              </w:rPr>
            </w:pPr>
          </w:p>
        </w:tc>
        <w:tc>
          <w:tcPr>
            <w:tcW w:w="792" w:type="dxa"/>
            <w:vAlign w:val="center"/>
          </w:tcPr>
          <w:p>
            <w:pPr>
              <w:jc w:val="center"/>
              <w:rPr>
                <w:rFonts w:hint="eastAsia" w:ascii="仿宋_GB2312" w:hAnsi="仿宋_GB2312" w:eastAsia="仿宋_GB2312" w:cs="仿宋_GB2312"/>
                <w:color w:val="auto"/>
                <w:sz w:val="28"/>
                <w:szCs w:val="28"/>
              </w:rPr>
            </w:pPr>
          </w:p>
        </w:tc>
      </w:tr>
      <w:tr>
        <w:tblPrEx>
          <w:tblLayout w:type="fixed"/>
          <w:tblCellMar>
            <w:top w:w="0" w:type="dxa"/>
            <w:left w:w="108" w:type="dxa"/>
            <w:bottom w:w="0" w:type="dxa"/>
            <w:right w:w="108" w:type="dxa"/>
          </w:tblCellMar>
        </w:tblPrEx>
        <w:trPr>
          <w:trHeight w:val="3315" w:hRule="atLeast"/>
          <w:jc w:val="center"/>
        </w:trPr>
        <w:tc>
          <w:tcPr>
            <w:tcW w:w="886" w:type="dxa"/>
            <w:vMerge w:val="restart"/>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1050" w:type="dxa"/>
            <w:vMerge w:val="restart"/>
            <w:vAlign w:val="center"/>
          </w:tcPr>
          <w:p>
            <w:pPr>
              <w:spacing w:line="590" w:lineRule="exact"/>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石府办字〔2020〕20号</w:t>
            </w:r>
            <w:r>
              <w:rPr>
                <w:rFonts w:hint="eastAsia" w:ascii="仿宋_GB2312" w:hAnsi="仿宋_GB2312" w:eastAsia="仿宋_GB2312" w:cs="仿宋_GB2312"/>
                <w:color w:val="auto"/>
                <w:sz w:val="28"/>
                <w:szCs w:val="28"/>
                <w:lang w:eastAsia="zh-CN"/>
              </w:rPr>
              <w:t>以及</w:t>
            </w:r>
            <w:r>
              <w:rPr>
                <w:rFonts w:hint="eastAsia" w:ascii="仿宋_GB2312" w:hAnsi="仿宋_GB2312" w:eastAsia="仿宋_GB2312" w:cs="仿宋_GB2312"/>
                <w:color w:val="auto"/>
                <w:sz w:val="28"/>
                <w:szCs w:val="28"/>
              </w:rPr>
              <w:t>石府办字〔202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34</w:t>
            </w:r>
            <w:r>
              <w:rPr>
                <w:rFonts w:hint="eastAsia" w:ascii="仿宋_GB2312" w:hAnsi="仿宋_GB2312" w:eastAsia="仿宋_GB2312" w:cs="仿宋_GB2312"/>
                <w:color w:val="auto"/>
                <w:sz w:val="28"/>
                <w:szCs w:val="28"/>
              </w:rPr>
              <w:t>号</w:t>
            </w:r>
          </w:p>
        </w:tc>
        <w:tc>
          <w:tcPr>
            <w:tcW w:w="1150" w:type="dxa"/>
            <w:vMerge w:val="restart"/>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石城县电子商务公共服务中心提升建设</w:t>
            </w:r>
          </w:p>
        </w:tc>
        <w:tc>
          <w:tcPr>
            <w:tcW w:w="4781" w:type="dxa"/>
            <w:vMerge w:val="restart"/>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一是提升改造县域电商公共服务中心办公场所，维护县域电子商务公共服务中心正常运营（如房租、网络等费用补助）。对利用率低的区域进行合理规划，增加办公使用面积。二是提升运营管理水平，通过购买第三方服务的形式运营，配备不低于5人的专职服务团队，加强园区企业管理，制定企业入驻与退出、运营团队考评、环境标识管理、培训及创业孵化等规范的服务管理制度。做好服务资源落地和服务需求对接，针对电子商务发展过程中出现的各类问题适时提供电子商务服务解决方案；三是提升园区电商配套服务。引入摄影摄像、美工、新媒体营销、代运营、培训等电商配套服务企业。四是设立石城扶贫产品展区，展示我县在全国供销总社832平台和中国社会扶贫网上线的扶贫产品，开展线上线下同步推广，带动贫困群众持续稳定增收</w:t>
            </w:r>
            <w:r>
              <w:rPr>
                <w:rFonts w:hint="eastAsia" w:ascii="仿宋_GB2312" w:hAnsi="仿宋_GB2312" w:eastAsia="仿宋_GB2312" w:cs="仿宋_GB2312"/>
                <w:color w:val="auto"/>
                <w:sz w:val="28"/>
                <w:szCs w:val="28"/>
              </w:rPr>
              <w:t>。</w:t>
            </w:r>
          </w:p>
        </w:tc>
        <w:tc>
          <w:tcPr>
            <w:tcW w:w="1020" w:type="dxa"/>
            <w:vMerge w:val="restart"/>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225</w:t>
            </w:r>
          </w:p>
        </w:tc>
        <w:tc>
          <w:tcPr>
            <w:tcW w:w="1515" w:type="dxa"/>
            <w:vMerge w:val="restart"/>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提升改造县电子商务公共服务中心，完善县域电子商务公共服务体系。</w:t>
            </w:r>
          </w:p>
        </w:tc>
        <w:tc>
          <w:tcPr>
            <w:tcW w:w="2590" w:type="dxa"/>
            <w:vMerge w:val="restart"/>
            <w:vAlign w:val="center"/>
          </w:tcPr>
          <w:p>
            <w:pPr>
              <w:jc w:val="center"/>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lang w:val="en-US" w:eastAsia="zh-CN"/>
              </w:rPr>
              <w:t>已完成建设内容和要求，通过验收且合格。</w:t>
            </w:r>
          </w:p>
        </w:tc>
        <w:tc>
          <w:tcPr>
            <w:tcW w:w="1452" w:type="dxa"/>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杭州颐高新基建科技有限公司（原杭州云达人科技有限公司）</w:t>
            </w:r>
          </w:p>
        </w:tc>
        <w:tc>
          <w:tcPr>
            <w:tcW w:w="851" w:type="dxa"/>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许亲</w:t>
            </w:r>
          </w:p>
        </w:tc>
        <w:tc>
          <w:tcPr>
            <w:tcW w:w="960" w:type="dxa"/>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45.5</w:t>
            </w:r>
          </w:p>
        </w:tc>
        <w:tc>
          <w:tcPr>
            <w:tcW w:w="939"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45.5</w:t>
            </w:r>
          </w:p>
        </w:tc>
        <w:tc>
          <w:tcPr>
            <w:tcW w:w="1400" w:type="dxa"/>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45.5万元为县财政配套资金</w:t>
            </w:r>
          </w:p>
        </w:tc>
        <w:tc>
          <w:tcPr>
            <w:tcW w:w="792" w:type="dxa"/>
            <w:vAlign w:val="center"/>
          </w:tcPr>
          <w:p>
            <w:pPr>
              <w:rPr>
                <w:rFonts w:hint="eastAsia" w:ascii="仿宋_GB2312" w:hAnsi="仿宋_GB2312" w:eastAsia="仿宋_GB2312" w:cs="仿宋_GB2312"/>
                <w:color w:val="auto"/>
                <w:sz w:val="28"/>
                <w:szCs w:val="28"/>
              </w:rPr>
            </w:pPr>
          </w:p>
        </w:tc>
      </w:tr>
      <w:tr>
        <w:tblPrEx>
          <w:tblLayout w:type="fixed"/>
          <w:tblCellMar>
            <w:top w:w="0" w:type="dxa"/>
            <w:left w:w="108" w:type="dxa"/>
            <w:bottom w:w="0" w:type="dxa"/>
            <w:right w:w="108" w:type="dxa"/>
          </w:tblCellMar>
        </w:tblPrEx>
        <w:trPr>
          <w:trHeight w:val="7613" w:hRule="atLeast"/>
          <w:jc w:val="center"/>
        </w:trPr>
        <w:tc>
          <w:tcPr>
            <w:tcW w:w="886" w:type="dxa"/>
            <w:vMerge w:val="continue"/>
            <w:vAlign w:val="center"/>
          </w:tcPr>
          <w:p>
            <w:pPr>
              <w:jc w:val="center"/>
              <w:rPr>
                <w:rFonts w:hint="eastAsia" w:ascii="仿宋_GB2312" w:hAnsi="仿宋_GB2312" w:eastAsia="仿宋_GB2312" w:cs="仿宋_GB2312"/>
                <w:color w:val="auto"/>
                <w:sz w:val="28"/>
                <w:szCs w:val="28"/>
              </w:rPr>
            </w:pPr>
          </w:p>
        </w:tc>
        <w:tc>
          <w:tcPr>
            <w:tcW w:w="1050" w:type="dxa"/>
            <w:vMerge w:val="continue"/>
            <w:vAlign w:val="center"/>
          </w:tcPr>
          <w:p>
            <w:pPr>
              <w:spacing w:line="590" w:lineRule="exact"/>
              <w:jc w:val="center"/>
              <w:rPr>
                <w:rFonts w:hint="eastAsia" w:ascii="仿宋_GB2312" w:hAnsi="仿宋_GB2312" w:eastAsia="仿宋_GB2312" w:cs="仿宋_GB2312"/>
                <w:color w:val="auto"/>
                <w:sz w:val="28"/>
                <w:szCs w:val="28"/>
              </w:rPr>
            </w:pPr>
          </w:p>
        </w:tc>
        <w:tc>
          <w:tcPr>
            <w:tcW w:w="1150" w:type="dxa"/>
            <w:vMerge w:val="continue"/>
            <w:vAlign w:val="center"/>
          </w:tcPr>
          <w:p>
            <w:pPr>
              <w:jc w:val="center"/>
              <w:rPr>
                <w:rFonts w:hint="eastAsia" w:ascii="仿宋_GB2312" w:hAnsi="仿宋_GB2312" w:eastAsia="仿宋_GB2312" w:cs="仿宋_GB2312"/>
                <w:color w:val="auto"/>
                <w:sz w:val="28"/>
                <w:szCs w:val="28"/>
              </w:rPr>
            </w:pPr>
          </w:p>
        </w:tc>
        <w:tc>
          <w:tcPr>
            <w:tcW w:w="4781" w:type="dxa"/>
            <w:vMerge w:val="continue"/>
            <w:vAlign w:val="center"/>
          </w:tcPr>
          <w:p>
            <w:pPr>
              <w:jc w:val="center"/>
              <w:rPr>
                <w:rFonts w:hint="eastAsia" w:ascii="仿宋_GB2312" w:hAnsi="仿宋_GB2312" w:eastAsia="仿宋_GB2312" w:cs="仿宋_GB2312"/>
                <w:color w:val="auto"/>
                <w:kern w:val="0"/>
                <w:sz w:val="28"/>
                <w:szCs w:val="28"/>
              </w:rPr>
            </w:pPr>
          </w:p>
        </w:tc>
        <w:tc>
          <w:tcPr>
            <w:tcW w:w="1020" w:type="dxa"/>
            <w:vMerge w:val="continue"/>
            <w:vAlign w:val="center"/>
          </w:tcPr>
          <w:p>
            <w:pPr>
              <w:jc w:val="center"/>
              <w:rPr>
                <w:rFonts w:hint="eastAsia" w:ascii="仿宋_GB2312" w:hAnsi="仿宋_GB2312" w:eastAsia="仿宋_GB2312" w:cs="仿宋_GB2312"/>
                <w:color w:val="auto"/>
                <w:sz w:val="28"/>
                <w:szCs w:val="28"/>
              </w:rPr>
            </w:pPr>
          </w:p>
        </w:tc>
        <w:tc>
          <w:tcPr>
            <w:tcW w:w="1515" w:type="dxa"/>
            <w:vMerge w:val="continue"/>
            <w:vAlign w:val="center"/>
          </w:tcPr>
          <w:p>
            <w:pPr>
              <w:jc w:val="center"/>
              <w:rPr>
                <w:rFonts w:hint="eastAsia" w:ascii="仿宋_GB2312" w:hAnsi="仿宋_GB2312" w:eastAsia="仿宋_GB2312" w:cs="仿宋_GB2312"/>
                <w:color w:val="auto"/>
                <w:kern w:val="0"/>
                <w:sz w:val="28"/>
                <w:szCs w:val="28"/>
              </w:rPr>
            </w:pPr>
          </w:p>
        </w:tc>
        <w:tc>
          <w:tcPr>
            <w:tcW w:w="2590" w:type="dxa"/>
            <w:vMerge w:val="continue"/>
            <w:vAlign w:val="center"/>
          </w:tcPr>
          <w:p>
            <w:pPr>
              <w:jc w:val="center"/>
              <w:rPr>
                <w:rFonts w:hint="eastAsia" w:ascii="仿宋_GB2312" w:hAnsi="仿宋_GB2312" w:eastAsia="仿宋_GB2312" w:cs="仿宋_GB2312"/>
                <w:color w:val="auto"/>
                <w:sz w:val="28"/>
                <w:szCs w:val="28"/>
              </w:rPr>
            </w:pPr>
          </w:p>
        </w:tc>
        <w:tc>
          <w:tcPr>
            <w:tcW w:w="1452" w:type="dxa"/>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中国电信股份有限公司赣州分公司</w:t>
            </w:r>
          </w:p>
        </w:tc>
        <w:tc>
          <w:tcPr>
            <w:tcW w:w="851" w:type="dxa"/>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陈静</w:t>
            </w:r>
          </w:p>
        </w:tc>
        <w:tc>
          <w:tcPr>
            <w:tcW w:w="960" w:type="dxa"/>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58.88</w:t>
            </w:r>
          </w:p>
        </w:tc>
        <w:tc>
          <w:tcPr>
            <w:tcW w:w="939" w:type="dxa"/>
            <w:vAlign w:val="center"/>
          </w:tcPr>
          <w:p>
            <w:pPr>
              <w:widowControl/>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kern w:val="0"/>
                <w:sz w:val="28"/>
                <w:szCs w:val="28"/>
                <w:lang w:val="en-US" w:eastAsia="zh-CN" w:bidi="ar"/>
              </w:rPr>
              <w:t>58.88</w:t>
            </w:r>
          </w:p>
        </w:tc>
        <w:tc>
          <w:tcPr>
            <w:tcW w:w="1400" w:type="dxa"/>
            <w:vMerge w:val="restart"/>
            <w:vAlign w:val="center"/>
          </w:tcPr>
          <w:p>
            <w:pPr>
              <w:jc w:val="center"/>
              <w:rPr>
                <w:rFonts w:hint="eastAsia" w:ascii="仿宋_GB2312" w:hAnsi="仿宋_GB2312" w:eastAsia="仿宋_GB2312" w:cs="仿宋_GB2312"/>
                <w:color w:val="auto"/>
                <w:sz w:val="28"/>
                <w:szCs w:val="28"/>
              </w:rPr>
            </w:pPr>
          </w:p>
        </w:tc>
        <w:tc>
          <w:tcPr>
            <w:tcW w:w="792" w:type="dxa"/>
            <w:vAlign w:val="center"/>
          </w:tcPr>
          <w:p>
            <w:pPr>
              <w:jc w:val="center"/>
              <w:rPr>
                <w:rFonts w:hint="eastAsia" w:ascii="仿宋_GB2312" w:hAnsi="仿宋_GB2312" w:eastAsia="仿宋_GB2312" w:cs="仿宋_GB2312"/>
                <w:color w:val="auto"/>
                <w:sz w:val="28"/>
                <w:szCs w:val="28"/>
              </w:rPr>
            </w:pPr>
          </w:p>
        </w:tc>
      </w:tr>
      <w:tr>
        <w:tblPrEx>
          <w:tblLayout w:type="fixed"/>
          <w:tblCellMar>
            <w:top w:w="0" w:type="dxa"/>
            <w:left w:w="108" w:type="dxa"/>
            <w:bottom w:w="0" w:type="dxa"/>
            <w:right w:w="108" w:type="dxa"/>
          </w:tblCellMar>
        </w:tblPrEx>
        <w:trPr>
          <w:trHeight w:val="7613" w:hRule="atLeast"/>
          <w:jc w:val="center"/>
        </w:trPr>
        <w:tc>
          <w:tcPr>
            <w:tcW w:w="886" w:type="dxa"/>
            <w:vMerge w:val="continue"/>
            <w:vAlign w:val="center"/>
          </w:tcPr>
          <w:p>
            <w:pPr>
              <w:jc w:val="center"/>
              <w:rPr>
                <w:rFonts w:hint="eastAsia" w:ascii="仿宋_GB2312" w:hAnsi="仿宋_GB2312" w:eastAsia="仿宋_GB2312" w:cs="仿宋_GB2312"/>
                <w:color w:val="auto"/>
                <w:sz w:val="28"/>
                <w:szCs w:val="28"/>
              </w:rPr>
            </w:pPr>
          </w:p>
        </w:tc>
        <w:tc>
          <w:tcPr>
            <w:tcW w:w="1050" w:type="dxa"/>
            <w:vMerge w:val="continue"/>
            <w:vAlign w:val="center"/>
          </w:tcPr>
          <w:p>
            <w:pPr>
              <w:spacing w:line="590" w:lineRule="exact"/>
              <w:jc w:val="center"/>
              <w:rPr>
                <w:rFonts w:hint="eastAsia" w:ascii="仿宋_GB2312" w:hAnsi="仿宋_GB2312" w:eastAsia="仿宋_GB2312" w:cs="仿宋_GB2312"/>
                <w:color w:val="auto"/>
                <w:sz w:val="28"/>
                <w:szCs w:val="28"/>
              </w:rPr>
            </w:pPr>
          </w:p>
        </w:tc>
        <w:tc>
          <w:tcPr>
            <w:tcW w:w="1150" w:type="dxa"/>
            <w:vMerge w:val="continue"/>
            <w:vAlign w:val="center"/>
          </w:tcPr>
          <w:p>
            <w:pPr>
              <w:jc w:val="center"/>
              <w:rPr>
                <w:rFonts w:hint="eastAsia" w:ascii="仿宋_GB2312" w:hAnsi="仿宋_GB2312" w:eastAsia="仿宋_GB2312" w:cs="仿宋_GB2312"/>
                <w:color w:val="auto"/>
                <w:sz w:val="28"/>
                <w:szCs w:val="28"/>
              </w:rPr>
            </w:pPr>
          </w:p>
        </w:tc>
        <w:tc>
          <w:tcPr>
            <w:tcW w:w="4781" w:type="dxa"/>
            <w:vMerge w:val="continue"/>
            <w:vAlign w:val="center"/>
          </w:tcPr>
          <w:p>
            <w:pPr>
              <w:jc w:val="center"/>
              <w:rPr>
                <w:rFonts w:hint="eastAsia" w:ascii="仿宋_GB2312" w:hAnsi="仿宋_GB2312" w:eastAsia="仿宋_GB2312" w:cs="仿宋_GB2312"/>
                <w:color w:val="auto"/>
                <w:kern w:val="0"/>
                <w:sz w:val="28"/>
                <w:szCs w:val="28"/>
              </w:rPr>
            </w:pPr>
          </w:p>
        </w:tc>
        <w:tc>
          <w:tcPr>
            <w:tcW w:w="1020" w:type="dxa"/>
            <w:vMerge w:val="continue"/>
            <w:vAlign w:val="center"/>
          </w:tcPr>
          <w:p>
            <w:pPr>
              <w:jc w:val="center"/>
              <w:rPr>
                <w:rFonts w:hint="eastAsia" w:ascii="仿宋_GB2312" w:hAnsi="仿宋_GB2312" w:eastAsia="仿宋_GB2312" w:cs="仿宋_GB2312"/>
                <w:color w:val="auto"/>
                <w:sz w:val="28"/>
                <w:szCs w:val="28"/>
              </w:rPr>
            </w:pPr>
          </w:p>
        </w:tc>
        <w:tc>
          <w:tcPr>
            <w:tcW w:w="1515" w:type="dxa"/>
            <w:vMerge w:val="continue"/>
            <w:vAlign w:val="center"/>
          </w:tcPr>
          <w:p>
            <w:pPr>
              <w:jc w:val="center"/>
              <w:rPr>
                <w:rFonts w:hint="eastAsia" w:ascii="仿宋_GB2312" w:hAnsi="仿宋_GB2312" w:eastAsia="仿宋_GB2312" w:cs="仿宋_GB2312"/>
                <w:color w:val="auto"/>
                <w:kern w:val="0"/>
                <w:sz w:val="28"/>
                <w:szCs w:val="28"/>
              </w:rPr>
            </w:pPr>
          </w:p>
        </w:tc>
        <w:tc>
          <w:tcPr>
            <w:tcW w:w="2590" w:type="dxa"/>
            <w:vMerge w:val="continue"/>
            <w:vAlign w:val="center"/>
          </w:tcPr>
          <w:p>
            <w:pPr>
              <w:jc w:val="center"/>
              <w:rPr>
                <w:rFonts w:hint="eastAsia" w:ascii="仿宋_GB2312" w:hAnsi="仿宋_GB2312" w:eastAsia="仿宋_GB2312" w:cs="仿宋_GB2312"/>
                <w:color w:val="auto"/>
                <w:sz w:val="28"/>
                <w:szCs w:val="28"/>
              </w:rPr>
            </w:pPr>
          </w:p>
        </w:tc>
        <w:tc>
          <w:tcPr>
            <w:tcW w:w="1452" w:type="dxa"/>
            <w:vAlign w:val="center"/>
          </w:tcPr>
          <w:p>
            <w:pPr>
              <w:widowControl/>
              <w:jc w:val="center"/>
              <w:textAlignment w:val="center"/>
              <w:rPr>
                <w:rFonts w:hint="eastAsia" w:ascii="仿宋_GB2312" w:hAnsi="仿宋_GB2312" w:eastAsia="仿宋_GB2312" w:cs="仿宋_GB2312"/>
                <w:color w:val="auto"/>
                <w:kern w:val="0"/>
                <w:sz w:val="28"/>
                <w:szCs w:val="28"/>
                <w:lang w:bidi="ar"/>
              </w:rPr>
            </w:pPr>
            <w:r>
              <w:rPr>
                <w:rFonts w:hint="eastAsia" w:ascii="仿宋_GB2312" w:hAnsi="仿宋_GB2312" w:eastAsia="仿宋_GB2312" w:cs="仿宋_GB2312"/>
                <w:color w:val="auto"/>
                <w:kern w:val="0"/>
                <w:sz w:val="28"/>
                <w:szCs w:val="28"/>
                <w:lang w:bidi="ar"/>
              </w:rPr>
              <w:t>江西颐天置业有限公司</w:t>
            </w:r>
          </w:p>
        </w:tc>
        <w:tc>
          <w:tcPr>
            <w:tcW w:w="851" w:type="dxa"/>
            <w:vAlign w:val="center"/>
          </w:tcPr>
          <w:p>
            <w:pPr>
              <w:widowControl/>
              <w:jc w:val="center"/>
              <w:textAlignment w:val="center"/>
              <w:rPr>
                <w:rFonts w:hint="eastAsia" w:ascii="仿宋_GB2312" w:hAnsi="仿宋_GB2312" w:eastAsia="仿宋_GB2312" w:cs="仿宋_GB2312"/>
                <w:color w:val="auto"/>
                <w:kern w:val="0"/>
                <w:sz w:val="28"/>
                <w:szCs w:val="28"/>
                <w:lang w:bidi="ar"/>
              </w:rPr>
            </w:pPr>
            <w:r>
              <w:rPr>
                <w:rFonts w:hint="eastAsia" w:ascii="仿宋_GB2312" w:hAnsi="仿宋_GB2312" w:eastAsia="仿宋_GB2312" w:cs="仿宋_GB2312"/>
                <w:color w:val="auto"/>
                <w:kern w:val="0"/>
                <w:sz w:val="28"/>
                <w:szCs w:val="28"/>
                <w:lang w:bidi="ar"/>
              </w:rPr>
              <w:t>陈何样</w:t>
            </w:r>
          </w:p>
        </w:tc>
        <w:tc>
          <w:tcPr>
            <w:tcW w:w="960" w:type="dxa"/>
            <w:vAlign w:val="center"/>
          </w:tcPr>
          <w:p>
            <w:pPr>
              <w:widowControl/>
              <w:jc w:val="center"/>
              <w:textAlignment w:val="center"/>
              <w:rPr>
                <w:rFonts w:hint="eastAsia" w:ascii="仿宋_GB2312" w:hAnsi="仿宋_GB2312" w:eastAsia="仿宋_GB2312" w:cs="仿宋_GB2312"/>
                <w:color w:val="auto"/>
                <w:kern w:val="0"/>
                <w:sz w:val="28"/>
                <w:szCs w:val="28"/>
                <w:lang w:bidi="ar"/>
              </w:rPr>
            </w:pPr>
            <w:r>
              <w:rPr>
                <w:rFonts w:hint="eastAsia" w:ascii="仿宋_GB2312" w:hAnsi="仿宋_GB2312" w:eastAsia="仿宋_GB2312" w:cs="仿宋_GB2312"/>
                <w:color w:val="auto"/>
                <w:kern w:val="0"/>
                <w:sz w:val="28"/>
                <w:szCs w:val="28"/>
                <w:lang w:bidi="ar"/>
              </w:rPr>
              <w:t>110</w:t>
            </w:r>
          </w:p>
        </w:tc>
        <w:tc>
          <w:tcPr>
            <w:tcW w:w="939" w:type="dxa"/>
            <w:vAlign w:val="center"/>
          </w:tcPr>
          <w:p>
            <w:pPr>
              <w:widowControl/>
              <w:jc w:val="center"/>
              <w:textAlignment w:val="center"/>
              <w:rPr>
                <w:rFonts w:hint="eastAsia" w:ascii="仿宋_GB2312" w:hAnsi="仿宋_GB2312" w:eastAsia="仿宋_GB2312" w:cs="仿宋_GB2312"/>
                <w:color w:val="auto"/>
                <w:kern w:val="0"/>
                <w:sz w:val="28"/>
                <w:szCs w:val="28"/>
                <w:lang w:bidi="ar"/>
              </w:rPr>
            </w:pPr>
            <w:r>
              <w:rPr>
                <w:rFonts w:hint="eastAsia" w:ascii="仿宋_GB2312" w:hAnsi="仿宋_GB2312" w:eastAsia="仿宋_GB2312" w:cs="仿宋_GB2312"/>
                <w:color w:val="auto"/>
                <w:kern w:val="0"/>
                <w:sz w:val="28"/>
                <w:szCs w:val="28"/>
                <w:lang w:bidi="ar"/>
              </w:rPr>
              <w:t>110</w:t>
            </w:r>
          </w:p>
        </w:tc>
        <w:tc>
          <w:tcPr>
            <w:tcW w:w="1400" w:type="dxa"/>
            <w:vMerge w:val="continue"/>
            <w:vAlign w:val="center"/>
          </w:tcPr>
          <w:p>
            <w:pPr>
              <w:jc w:val="center"/>
              <w:rPr>
                <w:rFonts w:hint="eastAsia" w:ascii="仿宋_GB2312" w:hAnsi="仿宋_GB2312" w:eastAsia="仿宋_GB2312" w:cs="仿宋_GB2312"/>
                <w:color w:val="auto"/>
                <w:sz w:val="28"/>
                <w:szCs w:val="28"/>
              </w:rPr>
            </w:pPr>
          </w:p>
        </w:tc>
        <w:tc>
          <w:tcPr>
            <w:tcW w:w="792" w:type="dxa"/>
            <w:vAlign w:val="center"/>
          </w:tcPr>
          <w:p>
            <w:pPr>
              <w:jc w:val="center"/>
              <w:rPr>
                <w:rFonts w:hint="eastAsia" w:ascii="仿宋_GB2312" w:hAnsi="仿宋_GB2312" w:eastAsia="仿宋_GB2312" w:cs="仿宋_GB2312"/>
                <w:color w:val="auto"/>
                <w:sz w:val="28"/>
                <w:szCs w:val="28"/>
              </w:rPr>
            </w:pPr>
          </w:p>
        </w:tc>
      </w:tr>
      <w:tr>
        <w:tblPrEx>
          <w:tblLayout w:type="fixed"/>
          <w:tblCellMar>
            <w:top w:w="0" w:type="dxa"/>
            <w:left w:w="108" w:type="dxa"/>
            <w:bottom w:w="0" w:type="dxa"/>
            <w:right w:w="108" w:type="dxa"/>
          </w:tblCellMar>
        </w:tblPrEx>
        <w:trPr>
          <w:trHeight w:val="7613" w:hRule="atLeast"/>
          <w:jc w:val="center"/>
        </w:trPr>
        <w:tc>
          <w:tcPr>
            <w:tcW w:w="886" w:type="dxa"/>
            <w:vAlign w:val="center"/>
          </w:tcPr>
          <w:p>
            <w:pPr>
              <w:jc w:val="center"/>
              <w:rPr>
                <w:rFonts w:hint="eastAsia" w:ascii="仿宋_GB2312" w:hAnsi="仿宋_GB2312" w:eastAsia="仿宋_GB2312" w:cs="仿宋_GB2312"/>
                <w:color w:val="auto"/>
                <w:sz w:val="28"/>
                <w:szCs w:val="28"/>
              </w:rPr>
            </w:pPr>
          </w:p>
        </w:tc>
        <w:tc>
          <w:tcPr>
            <w:tcW w:w="1050" w:type="dxa"/>
            <w:vAlign w:val="center"/>
          </w:tcPr>
          <w:p>
            <w:pPr>
              <w:spacing w:line="590" w:lineRule="exact"/>
              <w:jc w:val="center"/>
              <w:rPr>
                <w:rFonts w:hint="eastAsia" w:ascii="仿宋_GB2312" w:hAnsi="仿宋_GB2312" w:eastAsia="仿宋_GB2312" w:cs="仿宋_GB2312"/>
                <w:color w:val="auto"/>
                <w:sz w:val="28"/>
                <w:szCs w:val="28"/>
              </w:rPr>
            </w:pPr>
          </w:p>
        </w:tc>
        <w:tc>
          <w:tcPr>
            <w:tcW w:w="1150" w:type="dxa"/>
            <w:vAlign w:val="center"/>
          </w:tcPr>
          <w:p>
            <w:pPr>
              <w:jc w:val="center"/>
              <w:rPr>
                <w:rFonts w:hint="eastAsia" w:ascii="仿宋_GB2312" w:hAnsi="仿宋_GB2312" w:eastAsia="仿宋_GB2312" w:cs="仿宋_GB2312"/>
                <w:color w:val="auto"/>
                <w:sz w:val="28"/>
                <w:szCs w:val="28"/>
              </w:rPr>
            </w:pPr>
          </w:p>
        </w:tc>
        <w:tc>
          <w:tcPr>
            <w:tcW w:w="4781" w:type="dxa"/>
            <w:vAlign w:val="center"/>
          </w:tcPr>
          <w:p>
            <w:pPr>
              <w:jc w:val="center"/>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原石城县电子商务公共服务中心国有资产搬迁</w:t>
            </w:r>
          </w:p>
        </w:tc>
        <w:tc>
          <w:tcPr>
            <w:tcW w:w="1020"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2.1203</w:t>
            </w:r>
          </w:p>
        </w:tc>
        <w:tc>
          <w:tcPr>
            <w:tcW w:w="1515" w:type="dxa"/>
            <w:vAlign w:val="center"/>
          </w:tcPr>
          <w:p>
            <w:pPr>
              <w:jc w:val="center"/>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搬迁至鸿豪仓库</w:t>
            </w:r>
          </w:p>
        </w:tc>
        <w:tc>
          <w:tcPr>
            <w:tcW w:w="2590"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已完成</w:t>
            </w:r>
          </w:p>
        </w:tc>
        <w:tc>
          <w:tcPr>
            <w:tcW w:w="1452" w:type="dxa"/>
            <w:vAlign w:val="center"/>
          </w:tcPr>
          <w:p>
            <w:pPr>
              <w:widowControl/>
              <w:jc w:val="center"/>
              <w:textAlignment w:val="center"/>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刘南城搬运队</w:t>
            </w:r>
          </w:p>
        </w:tc>
        <w:tc>
          <w:tcPr>
            <w:tcW w:w="851" w:type="dxa"/>
            <w:vAlign w:val="center"/>
          </w:tcPr>
          <w:p>
            <w:pPr>
              <w:widowControl/>
              <w:jc w:val="center"/>
              <w:textAlignment w:val="center"/>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刘南城</w:t>
            </w:r>
          </w:p>
        </w:tc>
        <w:tc>
          <w:tcPr>
            <w:tcW w:w="960" w:type="dxa"/>
            <w:vAlign w:val="center"/>
          </w:tcPr>
          <w:p>
            <w:pPr>
              <w:widowControl/>
              <w:jc w:val="center"/>
              <w:textAlignment w:val="center"/>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2.1203</w:t>
            </w:r>
          </w:p>
        </w:tc>
        <w:tc>
          <w:tcPr>
            <w:tcW w:w="939" w:type="dxa"/>
            <w:vAlign w:val="center"/>
          </w:tcPr>
          <w:p>
            <w:pPr>
              <w:widowControl/>
              <w:jc w:val="center"/>
              <w:textAlignment w:val="center"/>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2.1203</w:t>
            </w:r>
          </w:p>
        </w:tc>
        <w:tc>
          <w:tcPr>
            <w:tcW w:w="1400" w:type="dxa"/>
            <w:vAlign w:val="center"/>
          </w:tcPr>
          <w:p>
            <w:pPr>
              <w:jc w:val="center"/>
              <w:rPr>
                <w:rFonts w:hint="eastAsia" w:ascii="仿宋_GB2312" w:hAnsi="仿宋_GB2312" w:eastAsia="仿宋_GB2312" w:cs="仿宋_GB2312"/>
                <w:color w:val="auto"/>
                <w:sz w:val="28"/>
                <w:szCs w:val="28"/>
              </w:rPr>
            </w:pPr>
          </w:p>
        </w:tc>
        <w:tc>
          <w:tcPr>
            <w:tcW w:w="792" w:type="dxa"/>
            <w:vAlign w:val="center"/>
          </w:tcPr>
          <w:p>
            <w:pPr>
              <w:jc w:val="center"/>
              <w:rPr>
                <w:rFonts w:hint="eastAsia" w:ascii="仿宋_GB2312" w:hAnsi="仿宋_GB2312" w:eastAsia="仿宋_GB2312" w:cs="仿宋_GB2312"/>
                <w:color w:val="auto"/>
                <w:sz w:val="28"/>
                <w:szCs w:val="28"/>
              </w:rPr>
            </w:pPr>
          </w:p>
        </w:tc>
      </w:tr>
      <w:tr>
        <w:tblPrEx>
          <w:tblLayout w:type="fixed"/>
          <w:tblCellMar>
            <w:top w:w="0" w:type="dxa"/>
            <w:left w:w="108" w:type="dxa"/>
            <w:bottom w:w="0" w:type="dxa"/>
            <w:right w:w="108" w:type="dxa"/>
          </w:tblCellMar>
        </w:tblPrEx>
        <w:trPr>
          <w:trHeight w:val="7613" w:hRule="atLeast"/>
          <w:jc w:val="center"/>
        </w:trPr>
        <w:tc>
          <w:tcPr>
            <w:tcW w:w="886" w:type="dxa"/>
            <w:vAlign w:val="center"/>
          </w:tcPr>
          <w:p>
            <w:pPr>
              <w:jc w:val="center"/>
              <w:rPr>
                <w:rFonts w:hint="eastAsia" w:ascii="仿宋_GB2312" w:hAnsi="仿宋_GB2312" w:eastAsia="仿宋_GB2312" w:cs="仿宋_GB2312"/>
                <w:color w:val="auto"/>
                <w:sz w:val="28"/>
                <w:szCs w:val="28"/>
              </w:rPr>
            </w:pPr>
          </w:p>
        </w:tc>
        <w:tc>
          <w:tcPr>
            <w:tcW w:w="1050" w:type="dxa"/>
            <w:vAlign w:val="center"/>
          </w:tcPr>
          <w:p>
            <w:pPr>
              <w:spacing w:line="590" w:lineRule="exact"/>
              <w:jc w:val="center"/>
              <w:rPr>
                <w:rFonts w:hint="eastAsia" w:ascii="仿宋_GB2312" w:hAnsi="仿宋_GB2312" w:eastAsia="仿宋_GB2312" w:cs="仿宋_GB2312"/>
                <w:color w:val="auto"/>
                <w:sz w:val="28"/>
                <w:szCs w:val="28"/>
              </w:rPr>
            </w:pPr>
          </w:p>
        </w:tc>
        <w:tc>
          <w:tcPr>
            <w:tcW w:w="1150" w:type="dxa"/>
            <w:vAlign w:val="center"/>
          </w:tcPr>
          <w:p>
            <w:pPr>
              <w:jc w:val="center"/>
              <w:rPr>
                <w:rFonts w:hint="eastAsia" w:ascii="仿宋_GB2312" w:hAnsi="仿宋_GB2312" w:eastAsia="仿宋_GB2312" w:cs="仿宋_GB2312"/>
                <w:color w:val="auto"/>
                <w:sz w:val="28"/>
                <w:szCs w:val="28"/>
              </w:rPr>
            </w:pPr>
          </w:p>
        </w:tc>
        <w:tc>
          <w:tcPr>
            <w:tcW w:w="478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sz w:val="28"/>
                <w:szCs w:val="28"/>
                <w:lang w:val="en-US" w:eastAsia="zh-CN"/>
              </w:rPr>
              <w:t>石城县电商公共服务中心新址租金（鸿豪）</w:t>
            </w:r>
          </w:p>
        </w:tc>
        <w:tc>
          <w:tcPr>
            <w:tcW w:w="1020"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53.95</w:t>
            </w:r>
          </w:p>
        </w:tc>
        <w:tc>
          <w:tcPr>
            <w:tcW w:w="1515" w:type="dxa"/>
            <w:vAlign w:val="center"/>
          </w:tcPr>
          <w:p>
            <w:pPr>
              <w:jc w:val="both"/>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租金服务</w:t>
            </w:r>
          </w:p>
        </w:tc>
        <w:tc>
          <w:tcPr>
            <w:tcW w:w="2590"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已完善</w:t>
            </w:r>
          </w:p>
        </w:tc>
        <w:tc>
          <w:tcPr>
            <w:tcW w:w="1452" w:type="dxa"/>
            <w:vAlign w:val="center"/>
          </w:tcPr>
          <w:p>
            <w:pPr>
              <w:widowControl/>
              <w:jc w:val="center"/>
              <w:textAlignment w:val="center"/>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石城县工业发展投资管理有限公司</w:t>
            </w:r>
          </w:p>
        </w:tc>
        <w:tc>
          <w:tcPr>
            <w:tcW w:w="851" w:type="dxa"/>
            <w:vAlign w:val="center"/>
          </w:tcPr>
          <w:p>
            <w:pPr>
              <w:widowControl/>
              <w:jc w:val="center"/>
              <w:textAlignment w:val="center"/>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李谭</w:t>
            </w:r>
          </w:p>
        </w:tc>
        <w:tc>
          <w:tcPr>
            <w:tcW w:w="960" w:type="dxa"/>
            <w:vAlign w:val="center"/>
          </w:tcPr>
          <w:p>
            <w:pPr>
              <w:widowControl/>
              <w:jc w:val="center"/>
              <w:textAlignment w:val="center"/>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53.95</w:t>
            </w:r>
          </w:p>
        </w:tc>
        <w:tc>
          <w:tcPr>
            <w:tcW w:w="939" w:type="dxa"/>
            <w:vAlign w:val="center"/>
          </w:tcPr>
          <w:p>
            <w:pPr>
              <w:widowControl/>
              <w:jc w:val="center"/>
              <w:textAlignment w:val="center"/>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53.95</w:t>
            </w:r>
          </w:p>
        </w:tc>
        <w:tc>
          <w:tcPr>
            <w:tcW w:w="1400" w:type="dxa"/>
            <w:vAlign w:val="center"/>
          </w:tcPr>
          <w:p>
            <w:pPr>
              <w:jc w:val="center"/>
              <w:rPr>
                <w:rFonts w:hint="eastAsia" w:ascii="仿宋_GB2312" w:hAnsi="仿宋_GB2312" w:eastAsia="仿宋_GB2312" w:cs="仿宋_GB2312"/>
                <w:color w:val="auto"/>
                <w:sz w:val="28"/>
                <w:szCs w:val="28"/>
              </w:rPr>
            </w:pPr>
          </w:p>
        </w:tc>
        <w:tc>
          <w:tcPr>
            <w:tcW w:w="792" w:type="dxa"/>
            <w:vAlign w:val="center"/>
          </w:tcPr>
          <w:p>
            <w:pPr>
              <w:jc w:val="center"/>
              <w:rPr>
                <w:rFonts w:hint="eastAsia" w:ascii="仿宋_GB2312" w:hAnsi="仿宋_GB2312" w:eastAsia="仿宋_GB2312" w:cs="仿宋_GB2312"/>
                <w:color w:val="auto"/>
                <w:sz w:val="28"/>
                <w:szCs w:val="28"/>
              </w:rPr>
            </w:pPr>
          </w:p>
        </w:tc>
      </w:tr>
      <w:tr>
        <w:tblPrEx>
          <w:tblLayout w:type="fixed"/>
          <w:tblCellMar>
            <w:top w:w="0" w:type="dxa"/>
            <w:left w:w="108" w:type="dxa"/>
            <w:bottom w:w="0" w:type="dxa"/>
            <w:right w:w="108" w:type="dxa"/>
          </w:tblCellMar>
        </w:tblPrEx>
        <w:trPr>
          <w:jc w:val="center"/>
        </w:trPr>
        <w:tc>
          <w:tcPr>
            <w:tcW w:w="886" w:type="dxa"/>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p>
        </w:tc>
        <w:tc>
          <w:tcPr>
            <w:tcW w:w="1050" w:type="dxa"/>
            <w:vAlign w:val="center"/>
          </w:tcPr>
          <w:p>
            <w:pPr>
              <w:spacing w:line="590" w:lineRule="exact"/>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石府办字〔2020〕20号</w:t>
            </w:r>
            <w:r>
              <w:rPr>
                <w:rFonts w:hint="eastAsia" w:ascii="仿宋_GB2312" w:hAnsi="仿宋_GB2312" w:eastAsia="仿宋_GB2312" w:cs="仿宋_GB2312"/>
                <w:color w:val="auto"/>
                <w:sz w:val="28"/>
                <w:szCs w:val="28"/>
                <w:lang w:eastAsia="zh-CN"/>
              </w:rPr>
              <w:t>以及</w:t>
            </w:r>
            <w:r>
              <w:rPr>
                <w:rFonts w:hint="eastAsia" w:ascii="仿宋_GB2312" w:hAnsi="仿宋_GB2312" w:eastAsia="仿宋_GB2312" w:cs="仿宋_GB2312"/>
                <w:color w:val="auto"/>
                <w:sz w:val="28"/>
                <w:szCs w:val="28"/>
              </w:rPr>
              <w:t>石府办字〔202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34</w:t>
            </w:r>
            <w:r>
              <w:rPr>
                <w:rFonts w:hint="eastAsia" w:ascii="仿宋_GB2312" w:hAnsi="仿宋_GB2312" w:eastAsia="仿宋_GB2312" w:cs="仿宋_GB2312"/>
                <w:color w:val="auto"/>
                <w:sz w:val="28"/>
                <w:szCs w:val="28"/>
              </w:rPr>
              <w:t>号</w:t>
            </w:r>
          </w:p>
        </w:tc>
        <w:tc>
          <w:tcPr>
            <w:tcW w:w="1150" w:type="dxa"/>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石城县镇村级电商服务站点服务体系建设</w:t>
            </w:r>
          </w:p>
        </w:tc>
        <w:tc>
          <w:tcPr>
            <w:tcW w:w="4781" w:type="dxa"/>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b w:val="0"/>
                <w:i w:val="0"/>
                <w:caps w:val="0"/>
                <w:color w:val="auto"/>
                <w:spacing w:val="0"/>
                <w:kern w:val="2"/>
                <w:sz w:val="28"/>
                <w:szCs w:val="28"/>
                <w:u w:val="none"/>
                <w:lang w:val="en-US" w:eastAsia="zh-CN" w:bidi="ar-SA"/>
              </w:rPr>
              <w:t>一是结合示范乡镇建设，升级改造现有或在条件成熟的乡镇新建乡镇级电商公共服务中心。乡镇级电商公共服务中心具备电子商务知识普及推广、电商人才培训、小微电商（网商）孵化、整合当地农特产品上行、整合展示当地农特产品、电商直播、承接物流快递等功能。二是根据电商产业发展情况在条件成熟的行政村提升改造或新建村级电商服务站，打造若干个村级电商服务站示范点。村级电商服务站示范点具有网上代购、农村产品网上代销、快递代收代发、费用代收代缴、电商知识传播和政策宣传等生活服务与基础电商服务功能。乡镇级电商公共服务中心和村级电商服务站示范点均须规范门牌标识，配置电脑、打印机、扫码枪、直播设备等必要硬件设施与网络，对站点工作人员开展相关培训、站点业务宣传推广等。</w:t>
            </w:r>
          </w:p>
        </w:tc>
        <w:tc>
          <w:tcPr>
            <w:tcW w:w="1020" w:type="dxa"/>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198.5</w:t>
            </w:r>
          </w:p>
        </w:tc>
        <w:tc>
          <w:tcPr>
            <w:tcW w:w="1515" w:type="dxa"/>
            <w:vAlign w:val="center"/>
          </w:tcPr>
          <w:p>
            <w:pPr>
              <w:spacing w:line="5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w:t>
            </w:r>
            <w:r>
              <w:rPr>
                <w:rFonts w:hint="eastAsia" w:ascii="仿宋_GB2312" w:hAnsi="仿宋_GB2312" w:eastAsia="仿宋_GB2312" w:cs="仿宋_GB2312"/>
                <w:b w:val="0"/>
                <w:i w:val="0"/>
                <w:caps w:val="0"/>
                <w:color w:val="auto"/>
                <w:spacing w:val="0"/>
                <w:kern w:val="2"/>
                <w:sz w:val="28"/>
                <w:szCs w:val="28"/>
                <w:u w:val="none"/>
                <w:lang w:val="en-US" w:eastAsia="zh-CN" w:bidi="ar-SA"/>
              </w:rPr>
              <w:t>条件成熟的乡镇</w:t>
            </w:r>
            <w:r>
              <w:rPr>
                <w:rFonts w:hint="eastAsia" w:ascii="仿宋_GB2312" w:hAnsi="仿宋_GB2312" w:eastAsia="仿宋_GB2312" w:cs="仿宋_GB2312"/>
                <w:color w:val="auto"/>
                <w:sz w:val="28"/>
                <w:szCs w:val="28"/>
              </w:rPr>
              <w:t>、行政村，升级改造或新建一批镇村电商服务站点，打造2个以上乡镇电商公共服务中心，若干个村级电子商务服务站示范点。</w:t>
            </w:r>
          </w:p>
        </w:tc>
        <w:tc>
          <w:tcPr>
            <w:tcW w:w="2590" w:type="dxa"/>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Hans"/>
              </w:rPr>
              <w:t>1、累计</w:t>
            </w:r>
            <w:r>
              <w:rPr>
                <w:rFonts w:hint="eastAsia" w:ascii="仿宋_GB2312" w:hAnsi="仿宋_GB2312" w:eastAsia="仿宋_GB2312" w:cs="仿宋_GB2312"/>
                <w:color w:val="auto"/>
                <w:sz w:val="28"/>
                <w:szCs w:val="28"/>
              </w:rPr>
              <w:t>完成10个乡镇电商公共服务中心的建设（含2个乡镇示范点）；</w:t>
            </w:r>
          </w:p>
          <w:p>
            <w:pPr>
              <w:spacing w:line="500" w:lineRule="exact"/>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Hans"/>
              </w:rPr>
              <w:t>2、累计</w:t>
            </w:r>
            <w:r>
              <w:rPr>
                <w:rFonts w:hint="eastAsia" w:ascii="仿宋_GB2312" w:hAnsi="仿宋_GB2312" w:eastAsia="仿宋_GB2312" w:cs="仿宋_GB2312"/>
                <w:color w:val="auto"/>
                <w:sz w:val="28"/>
                <w:szCs w:val="28"/>
              </w:rPr>
              <w:t>完成24个村级电商服务站的建设；（含2个村示范点）</w:t>
            </w:r>
          </w:p>
        </w:tc>
        <w:tc>
          <w:tcPr>
            <w:tcW w:w="1452" w:type="dxa"/>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厦门市华美云海科技有限公司</w:t>
            </w:r>
          </w:p>
        </w:tc>
        <w:tc>
          <w:tcPr>
            <w:tcW w:w="851" w:type="dxa"/>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朱云峰</w:t>
            </w:r>
          </w:p>
        </w:tc>
        <w:tc>
          <w:tcPr>
            <w:tcW w:w="960" w:type="dxa"/>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198.5</w:t>
            </w:r>
          </w:p>
        </w:tc>
        <w:tc>
          <w:tcPr>
            <w:tcW w:w="939" w:type="dxa"/>
            <w:vAlign w:val="center"/>
          </w:tcPr>
          <w:p>
            <w:pPr>
              <w:widowControl/>
              <w:jc w:val="center"/>
              <w:textAlignment w:val="center"/>
              <w:rPr>
                <w:rFonts w:hint="default" w:ascii="仿宋_GB2312" w:hAnsi="仿宋_GB2312" w:eastAsia="仿宋_GB2312" w:cs="仿宋_GB2312"/>
                <w:color w:val="auto"/>
                <w:sz w:val="28"/>
                <w:szCs w:val="28"/>
                <w:lang w:val="en-US" w:eastAsia="zh-CN"/>
              </w:rPr>
            </w:pPr>
            <w:r>
              <w:rPr>
                <w:rFonts w:hint="eastAsia" w:hAnsi="仿宋_GB2312" w:cs="仿宋_GB2312"/>
                <w:color w:val="auto"/>
                <w:kern w:val="0"/>
                <w:sz w:val="28"/>
                <w:szCs w:val="28"/>
                <w:lang w:val="en-US" w:eastAsia="zh-CN" w:bidi="ar"/>
              </w:rPr>
              <w:t>158.8</w:t>
            </w:r>
          </w:p>
        </w:tc>
        <w:tc>
          <w:tcPr>
            <w:tcW w:w="1400" w:type="dxa"/>
            <w:vAlign w:val="center"/>
          </w:tcPr>
          <w:p>
            <w:pPr>
              <w:jc w:val="center"/>
              <w:rPr>
                <w:rFonts w:hint="eastAsia" w:ascii="仿宋_GB2312" w:hAnsi="仿宋_GB2312" w:eastAsia="仿宋_GB2312" w:cs="仿宋_GB2312"/>
                <w:color w:val="auto"/>
                <w:sz w:val="28"/>
                <w:szCs w:val="28"/>
              </w:rPr>
            </w:pPr>
          </w:p>
        </w:tc>
        <w:tc>
          <w:tcPr>
            <w:tcW w:w="792" w:type="dxa"/>
            <w:vAlign w:val="center"/>
          </w:tcPr>
          <w:p>
            <w:pPr>
              <w:jc w:val="center"/>
              <w:rPr>
                <w:rFonts w:hint="eastAsia" w:ascii="仿宋_GB2312" w:hAnsi="仿宋_GB2312" w:eastAsia="仿宋_GB2312" w:cs="仿宋_GB2312"/>
                <w:color w:val="auto"/>
                <w:sz w:val="28"/>
                <w:szCs w:val="28"/>
              </w:rPr>
            </w:pPr>
          </w:p>
        </w:tc>
      </w:tr>
      <w:tr>
        <w:tblPrEx>
          <w:tblLayout w:type="fixed"/>
          <w:tblCellMar>
            <w:top w:w="0" w:type="dxa"/>
            <w:left w:w="108" w:type="dxa"/>
            <w:bottom w:w="0" w:type="dxa"/>
            <w:right w:w="108" w:type="dxa"/>
          </w:tblCellMar>
        </w:tblPrEx>
        <w:trPr>
          <w:trHeight w:val="4911" w:hRule="atLeast"/>
          <w:jc w:val="center"/>
        </w:trPr>
        <w:tc>
          <w:tcPr>
            <w:tcW w:w="886" w:type="dxa"/>
            <w:vMerge w:val="restart"/>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p>
        </w:tc>
        <w:tc>
          <w:tcPr>
            <w:tcW w:w="1050" w:type="dxa"/>
            <w:vMerge w:val="restart"/>
            <w:vAlign w:val="center"/>
          </w:tcPr>
          <w:p>
            <w:pPr>
              <w:spacing w:line="590" w:lineRule="exact"/>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石府办字〔2020〕20号</w:t>
            </w:r>
            <w:r>
              <w:rPr>
                <w:rFonts w:hint="eastAsia" w:ascii="仿宋_GB2312" w:hAnsi="仿宋_GB2312" w:eastAsia="仿宋_GB2312" w:cs="仿宋_GB2312"/>
                <w:color w:val="auto"/>
                <w:sz w:val="28"/>
                <w:szCs w:val="28"/>
                <w:lang w:eastAsia="zh-CN"/>
              </w:rPr>
              <w:t>以及</w:t>
            </w:r>
            <w:r>
              <w:rPr>
                <w:rFonts w:hint="eastAsia" w:ascii="仿宋_GB2312" w:hAnsi="仿宋_GB2312" w:eastAsia="仿宋_GB2312" w:cs="仿宋_GB2312"/>
                <w:color w:val="auto"/>
                <w:sz w:val="28"/>
                <w:szCs w:val="28"/>
              </w:rPr>
              <w:t>石府办字〔202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34</w:t>
            </w:r>
            <w:r>
              <w:rPr>
                <w:rFonts w:hint="eastAsia" w:ascii="仿宋_GB2312" w:hAnsi="仿宋_GB2312" w:eastAsia="仿宋_GB2312" w:cs="仿宋_GB2312"/>
                <w:color w:val="auto"/>
                <w:sz w:val="28"/>
                <w:szCs w:val="28"/>
              </w:rPr>
              <w:t>号</w:t>
            </w:r>
          </w:p>
        </w:tc>
        <w:tc>
          <w:tcPr>
            <w:tcW w:w="1150" w:type="dxa"/>
            <w:vMerge w:val="restart"/>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石城县电子商务人才培训体系建设</w:t>
            </w:r>
          </w:p>
        </w:tc>
        <w:tc>
          <w:tcPr>
            <w:tcW w:w="4781" w:type="dxa"/>
            <w:vMerge w:val="restart"/>
            <w:vAlign w:val="center"/>
          </w:tcPr>
          <w:p>
            <w:pPr>
              <w:widowControl/>
              <w:pBdr>
                <w:top w:val="single" w:color="FFFFFF" w:sz="8" w:space="0"/>
                <w:left w:val="single" w:color="FFFFFF" w:sz="8" w:space="0"/>
                <w:bottom w:val="single" w:color="FFFFFF" w:sz="8" w:space="30"/>
                <w:right w:val="single" w:color="FFFFFF" w:sz="8" w:space="9"/>
              </w:pBdr>
              <w:shd w:val="clear" w:color="auto" w:fill="FFFFFF"/>
              <w:snapToGrid w:val="0"/>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一是做好培训组织实施工作。因地制宜，开展课堂培训、现场教学、实践操作、电商沙龙、高峰论坛、召开会议等多种形式的培训活动，力争使所有参与农村电子商务从业人员都能得到一次以上的培训机会。</w:t>
            </w:r>
            <w:r>
              <w:rPr>
                <w:rFonts w:hint="eastAsia" w:ascii="仿宋_GB2312" w:hAnsi="仿宋_GB2312" w:eastAsia="仿宋_GB2312" w:cs="仿宋_GB2312"/>
                <w:b/>
                <w:bCs/>
                <w:color w:val="auto"/>
                <w:sz w:val="28"/>
                <w:szCs w:val="28"/>
              </w:rPr>
              <w:t>二</w:t>
            </w:r>
            <w:r>
              <w:rPr>
                <w:rFonts w:hint="eastAsia" w:ascii="仿宋_GB2312" w:hAnsi="仿宋_GB2312" w:eastAsia="仿宋_GB2312" w:cs="仿宋_GB2312"/>
                <w:color w:val="auto"/>
                <w:kern w:val="0"/>
                <w:sz w:val="28"/>
                <w:szCs w:val="28"/>
              </w:rPr>
              <w:t>是精准培训课程。（1）对县乡村领导干部的培训，以电商发展趋势分析、电商基础知识、农村电商发展机遇解读、互联网宣传、农村电子商务发展模式介绍及成功案例分析等课程为主；（2）对农民以普及电商基础知识、网购平台介绍、网上购物流程、农村产品网销、电商交易安全等课程为主；（3）对农村电商创业人员</w:t>
            </w:r>
            <w:r>
              <w:rPr>
                <w:rFonts w:hint="eastAsia" w:ascii="仿宋_GB2312" w:hAnsi="仿宋_GB2312" w:eastAsia="仿宋_GB2312" w:cs="仿宋_GB2312"/>
                <w:color w:val="auto"/>
                <w:sz w:val="28"/>
                <w:szCs w:val="28"/>
              </w:rPr>
              <w:t>着重加强网店注册、美工、产品设计和</w:t>
            </w:r>
            <w:r>
              <w:rPr>
                <w:rFonts w:hint="eastAsia" w:ascii="仿宋_GB2312" w:hAnsi="仿宋_GB2312" w:eastAsia="仿宋_GB2312" w:cs="仿宋_GB2312"/>
                <w:color w:val="auto"/>
                <w:kern w:val="0"/>
                <w:sz w:val="28"/>
                <w:szCs w:val="28"/>
              </w:rPr>
              <w:t>定位、运营</w:t>
            </w:r>
            <w:r>
              <w:rPr>
                <w:rFonts w:hint="eastAsia" w:ascii="仿宋_GB2312" w:hAnsi="仿宋_GB2312" w:eastAsia="仿宋_GB2312" w:cs="仿宋_GB2312"/>
                <w:color w:val="auto"/>
                <w:sz w:val="28"/>
                <w:szCs w:val="28"/>
              </w:rPr>
              <w:t>推广、客服服务等培训；（4）对电子商务从业人员着重开展互联网技术、网络营销、电商选品、平台交易规制等培训；</w:t>
            </w:r>
            <w:r>
              <w:rPr>
                <w:rFonts w:hint="eastAsia" w:ascii="仿宋_GB2312" w:hAnsi="仿宋_GB2312" w:eastAsia="仿宋_GB2312" w:cs="仿宋_GB2312"/>
                <w:color w:val="auto"/>
                <w:kern w:val="0"/>
                <w:sz w:val="28"/>
                <w:szCs w:val="28"/>
              </w:rPr>
              <w:t>（5）对企业主和管理人员着重开展电商团队打造、电商供应链、互联网＋企业转型等培训。</w:t>
            </w:r>
            <w:r>
              <w:rPr>
                <w:rFonts w:hint="eastAsia" w:ascii="仿宋_GB2312" w:hAnsi="仿宋_GB2312" w:eastAsia="仿宋_GB2312" w:cs="仿宋_GB2312"/>
                <w:color w:val="auto"/>
                <w:sz w:val="28"/>
                <w:szCs w:val="28"/>
              </w:rPr>
              <w:t>三是建立健全培训档案。每期培训档案包含政府部门与培训机构签署的委托培训协议或下达培训任务的相关文件、培训机构营业执照及相关资质证明材料、每位授课人的基本情况和资质证明、培训方案、培训时间、地点、课程安排、培训材料、培训人员名册、签到名册和现场培训照片等。培训档案将作为申请财政补贴的必要依据，档案不全，不予以补贴。四是做好训后跟踪指导服务。对被培训人员进行跟踪，提供后续实践引导和服务，并做好培训后跟踪服务记录和学员从业情况统计。对于创业就业型培训，应对培训机构设立创业率、就业率等验收指标。</w:t>
            </w:r>
          </w:p>
        </w:tc>
        <w:tc>
          <w:tcPr>
            <w:tcW w:w="1020" w:type="dxa"/>
            <w:vMerge w:val="restart"/>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110</w:t>
            </w:r>
          </w:p>
        </w:tc>
        <w:tc>
          <w:tcPr>
            <w:tcW w:w="1515" w:type="dxa"/>
            <w:vMerge w:val="restart"/>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建立完善的电子商务培训机制，提升电商培训质量和实效，到2022年6月新增培训人数达2000人次以上。</w:t>
            </w:r>
          </w:p>
        </w:tc>
        <w:tc>
          <w:tcPr>
            <w:tcW w:w="2590" w:type="dxa"/>
            <w:vMerge w:val="restart"/>
            <w:vAlign w:val="center"/>
          </w:tcPr>
          <w:p>
            <w:pPr>
              <w:numPr>
                <w:ilvl w:val="0"/>
                <w:numId w:val="0"/>
              </w:numPr>
              <w:jc w:val="left"/>
              <w:rPr>
                <w:rFonts w:hint="eastAsia" w:ascii="仿宋_GB2312" w:hAnsi="仿宋_GB2312" w:eastAsia="仿宋_GB2312" w:cs="仿宋_GB2312"/>
                <w:color w:val="auto"/>
                <w:sz w:val="28"/>
                <w:szCs w:val="28"/>
                <w:lang w:val="en-US" w:eastAsia="zh-Hans"/>
              </w:rPr>
            </w:pPr>
            <w:r>
              <w:rPr>
                <w:rFonts w:hint="eastAsia" w:ascii="仿宋_GB2312" w:hAnsi="仿宋_GB2312" w:eastAsia="仿宋_GB2312" w:cs="仿宋_GB2312"/>
                <w:color w:val="auto"/>
                <w:sz w:val="28"/>
                <w:szCs w:val="28"/>
                <w:lang w:val="en-US" w:eastAsia="zh-CN"/>
              </w:rPr>
              <w:t>品目一</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Hans"/>
              </w:rPr>
              <w:t>一</w:t>
            </w:r>
            <w:r>
              <w:rPr>
                <w:rFonts w:hint="eastAsia" w:ascii="仿宋_GB2312" w:hAnsi="仿宋_GB2312" w:eastAsia="仿宋_GB2312" w:cs="仿宋_GB2312"/>
                <w:color w:val="auto"/>
                <w:sz w:val="28"/>
                <w:szCs w:val="28"/>
                <w:lang w:eastAsia="zh-Hans"/>
              </w:rPr>
              <w:t>、县乡村领导干部电商培训班</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Hans"/>
              </w:rPr>
              <w:t>对电商产业相关的县乡村领导干部开展电商发展趋势分析、电商基础知识、 农村电商发展机遇解读、农村电子商务 发展模式介绍及成功案例分析等内容 的电商培训，提升各级领导干部电商应用水平。培训期数为 1-3 期，每期 50-300 人次，培训人次不少于 600 人。</w:t>
            </w:r>
          </w:p>
          <w:p>
            <w:pPr>
              <w:numPr>
                <w:ilvl w:val="0"/>
                <w:numId w:val="0"/>
              </w:numPr>
              <w:jc w:val="left"/>
              <w:rPr>
                <w:rFonts w:hint="eastAsia" w:ascii="仿宋_GB2312" w:hAnsi="仿宋_GB2312" w:eastAsia="仿宋_GB2312" w:cs="仿宋_GB2312"/>
                <w:color w:val="auto"/>
                <w:sz w:val="28"/>
                <w:szCs w:val="28"/>
                <w:lang w:val="en-US" w:eastAsia="zh-Hans"/>
              </w:rPr>
            </w:pPr>
            <w:r>
              <w:rPr>
                <w:rFonts w:hint="eastAsia" w:ascii="仿宋_GB2312" w:hAnsi="仿宋_GB2312" w:eastAsia="仿宋_GB2312" w:cs="仿宋_GB2312"/>
                <w:b w:val="0"/>
                <w:bCs w:val="0"/>
                <w:color w:val="auto"/>
                <w:sz w:val="28"/>
                <w:szCs w:val="28"/>
                <w:lang w:val="en-US" w:eastAsia="zh-Hans"/>
              </w:rPr>
              <w:t>进度</w:t>
            </w:r>
            <w:r>
              <w:rPr>
                <w:rFonts w:hint="eastAsia" w:ascii="仿宋_GB2312" w:hAnsi="仿宋_GB2312" w:eastAsia="仿宋_GB2312" w:cs="仿宋_GB2312"/>
                <w:b w:val="0"/>
                <w:bCs w:val="0"/>
                <w:color w:val="auto"/>
                <w:sz w:val="28"/>
                <w:szCs w:val="28"/>
                <w:lang w:eastAsia="zh-Hans"/>
              </w:rPr>
              <w:t>：</w:t>
            </w:r>
            <w:r>
              <w:rPr>
                <w:rFonts w:hint="eastAsia" w:ascii="仿宋_GB2312" w:hAnsi="仿宋_GB2312" w:eastAsia="仿宋_GB2312" w:cs="仿宋_GB2312"/>
                <w:b w:val="0"/>
                <w:bCs w:val="0"/>
                <w:color w:val="auto"/>
                <w:sz w:val="28"/>
                <w:szCs w:val="28"/>
                <w:lang w:val="en-US" w:eastAsia="zh-Hans"/>
              </w:rPr>
              <w:t>已经确定培训要求</w:t>
            </w:r>
            <w:r>
              <w:rPr>
                <w:rFonts w:hint="eastAsia" w:ascii="仿宋_GB2312" w:hAnsi="仿宋_GB2312" w:eastAsia="仿宋_GB2312" w:cs="仿宋_GB2312"/>
                <w:b w:val="0"/>
                <w:bCs w:val="0"/>
                <w:color w:val="auto"/>
                <w:sz w:val="28"/>
                <w:szCs w:val="28"/>
                <w:lang w:eastAsia="zh-Hans"/>
              </w:rPr>
              <w:t>，</w:t>
            </w:r>
            <w:r>
              <w:rPr>
                <w:rFonts w:hint="eastAsia" w:ascii="仿宋_GB2312" w:hAnsi="仿宋_GB2312" w:eastAsia="仿宋_GB2312" w:cs="仿宋_GB2312"/>
                <w:b w:val="0"/>
                <w:bCs w:val="0"/>
                <w:color w:val="auto"/>
                <w:sz w:val="28"/>
                <w:szCs w:val="28"/>
                <w:lang w:val="en-US" w:eastAsia="zh-Hans"/>
              </w:rPr>
              <w:t>制作了培训课件</w:t>
            </w:r>
            <w:r>
              <w:rPr>
                <w:rFonts w:hint="eastAsia" w:ascii="仿宋_GB2312" w:hAnsi="仿宋_GB2312" w:eastAsia="仿宋_GB2312" w:cs="仿宋_GB2312"/>
                <w:b w:val="0"/>
                <w:bCs w:val="0"/>
                <w:color w:val="auto"/>
                <w:sz w:val="28"/>
                <w:szCs w:val="28"/>
                <w:lang w:eastAsia="zh-Hans"/>
              </w:rPr>
              <w:t>，</w:t>
            </w:r>
            <w:r>
              <w:rPr>
                <w:rFonts w:hint="eastAsia" w:ascii="仿宋_GB2312" w:hAnsi="仿宋_GB2312" w:eastAsia="仿宋_GB2312" w:cs="仿宋_GB2312"/>
                <w:b w:val="0"/>
                <w:bCs w:val="0"/>
                <w:color w:val="auto"/>
                <w:sz w:val="28"/>
                <w:szCs w:val="28"/>
                <w:lang w:val="en-US" w:eastAsia="zh-Hans"/>
              </w:rPr>
              <w:t>制作了培训通知文件等</w:t>
            </w:r>
            <w:r>
              <w:rPr>
                <w:rFonts w:hint="eastAsia" w:ascii="仿宋_GB2312" w:hAnsi="仿宋_GB2312" w:eastAsia="仿宋_GB2312" w:cs="仿宋_GB2312"/>
                <w:b w:val="0"/>
                <w:bCs w:val="0"/>
                <w:color w:val="auto"/>
                <w:sz w:val="28"/>
                <w:szCs w:val="28"/>
                <w:lang w:eastAsia="zh-Hans"/>
              </w:rPr>
              <w:t>。</w:t>
            </w:r>
            <w:r>
              <w:rPr>
                <w:rFonts w:hint="eastAsia" w:ascii="仿宋_GB2312" w:hAnsi="仿宋_GB2312" w:eastAsia="仿宋_GB2312" w:cs="仿宋_GB2312"/>
                <w:b w:val="0"/>
                <w:bCs w:val="0"/>
                <w:color w:val="auto"/>
                <w:sz w:val="28"/>
                <w:szCs w:val="28"/>
                <w:lang w:eastAsia="zh-CN"/>
              </w:rPr>
              <w:t>在党校开展了一期培训，共计</w:t>
            </w:r>
            <w:r>
              <w:rPr>
                <w:rFonts w:hint="eastAsia" w:ascii="仿宋_GB2312" w:hAnsi="仿宋_GB2312" w:eastAsia="仿宋_GB2312" w:cs="仿宋_GB2312"/>
                <w:b w:val="0"/>
                <w:bCs w:val="0"/>
                <w:color w:val="auto"/>
                <w:sz w:val="28"/>
                <w:szCs w:val="28"/>
                <w:lang w:val="en-US" w:eastAsia="zh-CN"/>
              </w:rPr>
              <w:t>153人次</w:t>
            </w:r>
            <w:r>
              <w:rPr>
                <w:rFonts w:hint="eastAsia" w:ascii="仿宋_GB2312" w:hAnsi="仿宋_GB2312" w:eastAsia="仿宋_GB2312" w:cs="仿宋_GB2312"/>
                <w:b w:val="0"/>
                <w:bCs w:val="0"/>
                <w:color w:val="auto"/>
                <w:sz w:val="28"/>
                <w:szCs w:val="28"/>
                <w:lang w:eastAsia="zh-Hans"/>
              </w:rPr>
              <w:t>。</w:t>
            </w:r>
            <w:r>
              <w:rPr>
                <w:rFonts w:hint="eastAsia" w:ascii="仿宋_GB2312" w:hAnsi="仿宋_GB2312" w:eastAsia="仿宋_GB2312" w:cs="仿宋_GB2312"/>
                <w:color w:val="auto"/>
                <w:sz w:val="28"/>
                <w:szCs w:val="28"/>
                <w:lang w:val="en-US" w:eastAsia="zh-Hans"/>
              </w:rPr>
              <w:t>二</w:t>
            </w:r>
            <w:r>
              <w:rPr>
                <w:rFonts w:hint="eastAsia" w:ascii="仿宋_GB2312" w:hAnsi="仿宋_GB2312" w:eastAsia="仿宋_GB2312" w:cs="仿宋_GB2312"/>
                <w:color w:val="auto"/>
                <w:sz w:val="28"/>
                <w:szCs w:val="28"/>
                <w:lang w:eastAsia="zh-Hans"/>
              </w:rPr>
              <w:t>、</w:t>
            </w:r>
            <w:r>
              <w:rPr>
                <w:rFonts w:hint="eastAsia" w:ascii="仿宋_GB2312" w:hAnsi="仿宋_GB2312" w:eastAsia="仿宋_GB2312" w:cs="仿宋_GB2312"/>
                <w:color w:val="auto"/>
                <w:sz w:val="28"/>
                <w:szCs w:val="28"/>
                <w:lang w:val="en-US" w:eastAsia="zh-Hans"/>
              </w:rPr>
              <w:t>培训教材与资料制作</w:t>
            </w:r>
          </w:p>
          <w:p>
            <w:pPr>
              <w:numPr>
                <w:ilvl w:val="0"/>
                <w:numId w:val="0"/>
              </w:numPr>
              <w:jc w:val="left"/>
              <w:rPr>
                <w:rFonts w:hint="eastAsia" w:ascii="仿宋_GB2312" w:hAnsi="仿宋_GB2312" w:eastAsia="仿宋_GB2312" w:cs="仿宋_GB2312"/>
                <w:color w:val="auto"/>
                <w:sz w:val="28"/>
                <w:szCs w:val="28"/>
                <w:lang w:val="en-US" w:eastAsia="zh-Hans"/>
              </w:rPr>
            </w:pPr>
            <w:r>
              <w:rPr>
                <w:rFonts w:hint="eastAsia" w:ascii="仿宋_GB2312" w:hAnsi="仿宋_GB2312" w:eastAsia="仿宋_GB2312" w:cs="仿宋_GB2312"/>
                <w:color w:val="auto"/>
                <w:sz w:val="28"/>
                <w:szCs w:val="28"/>
                <w:lang w:val="en-US" w:eastAsia="zh-Hans"/>
              </w:rPr>
              <w:t>涉及到学员培训教材、培训手册、打印 资料，聘请专业机构制作电子商务进农 村培训教材。</w:t>
            </w:r>
          </w:p>
          <w:p>
            <w:pPr>
              <w:numPr>
                <w:ilvl w:val="0"/>
                <w:numId w:val="0"/>
              </w:numPr>
              <w:jc w:val="left"/>
              <w:rPr>
                <w:rFonts w:hint="eastAsia" w:ascii="仿宋_GB2312" w:hAnsi="仿宋_GB2312" w:eastAsia="仿宋_GB2312" w:cs="仿宋_GB2312"/>
                <w:color w:val="auto"/>
                <w:sz w:val="28"/>
                <w:szCs w:val="28"/>
                <w:lang w:val="en-US" w:eastAsia="zh-Hans"/>
              </w:rPr>
            </w:pPr>
            <w:r>
              <w:rPr>
                <w:rFonts w:hint="eastAsia" w:ascii="仿宋_GB2312" w:hAnsi="仿宋_GB2312" w:eastAsia="仿宋_GB2312" w:cs="仿宋_GB2312"/>
                <w:color w:val="auto"/>
                <w:sz w:val="28"/>
                <w:szCs w:val="28"/>
                <w:lang w:val="en-US" w:eastAsia="zh-Hans"/>
              </w:rPr>
              <w:t>三</w:t>
            </w:r>
            <w:r>
              <w:rPr>
                <w:rFonts w:hint="eastAsia" w:ascii="仿宋_GB2312" w:hAnsi="仿宋_GB2312" w:eastAsia="仿宋_GB2312" w:cs="仿宋_GB2312"/>
                <w:color w:val="auto"/>
                <w:sz w:val="28"/>
                <w:szCs w:val="28"/>
                <w:lang w:eastAsia="zh-Hans"/>
              </w:rPr>
              <w:t>、农村电商高级讲师培训</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Hans"/>
              </w:rPr>
              <w:t>与商务部中国国际电子商务中心合作， 培训线下不少于 20 人(或是线上不少 于 30 人)的农村电商讲师(农村电商 或直播电商方向)队伍。</w:t>
            </w:r>
          </w:p>
          <w:p>
            <w:pPr>
              <w:numPr>
                <w:ilvl w:val="0"/>
                <w:numId w:val="0"/>
              </w:numPr>
              <w:jc w:val="left"/>
              <w:rPr>
                <w:rFonts w:hint="eastAsia" w:ascii="仿宋_GB2312" w:hAnsi="仿宋_GB2312" w:eastAsia="仿宋_GB2312" w:cs="仿宋_GB2312"/>
                <w:b w:val="0"/>
                <w:bCs w:val="0"/>
                <w:color w:val="auto"/>
                <w:sz w:val="28"/>
                <w:szCs w:val="28"/>
                <w:lang w:eastAsia="zh-Hans"/>
              </w:rPr>
            </w:pPr>
            <w:r>
              <w:rPr>
                <w:rFonts w:hint="eastAsia" w:ascii="仿宋_GB2312" w:hAnsi="仿宋_GB2312" w:eastAsia="仿宋_GB2312" w:cs="仿宋_GB2312"/>
                <w:b w:val="0"/>
                <w:bCs w:val="0"/>
                <w:color w:val="auto"/>
                <w:sz w:val="28"/>
                <w:szCs w:val="28"/>
                <w:lang w:val="en-US" w:eastAsia="zh-CN"/>
              </w:rPr>
              <w:t>完成情况：</w:t>
            </w:r>
            <w:r>
              <w:rPr>
                <w:rFonts w:hint="eastAsia" w:ascii="仿宋_GB2312" w:hAnsi="仿宋_GB2312" w:eastAsia="仿宋_GB2312" w:cs="仿宋_GB2312"/>
                <w:b w:val="0"/>
                <w:bCs w:val="0"/>
                <w:color w:val="auto"/>
                <w:sz w:val="28"/>
                <w:szCs w:val="28"/>
                <w:lang w:val="en-US" w:eastAsia="zh-Hans"/>
              </w:rPr>
              <w:t>因为疫情</w:t>
            </w:r>
            <w:r>
              <w:rPr>
                <w:rFonts w:hint="eastAsia" w:ascii="仿宋_GB2312" w:hAnsi="仿宋_GB2312" w:eastAsia="仿宋_GB2312" w:cs="仿宋_GB2312"/>
                <w:b w:val="0"/>
                <w:bCs w:val="0"/>
                <w:color w:val="auto"/>
                <w:sz w:val="28"/>
                <w:szCs w:val="28"/>
                <w:lang w:eastAsia="zh-Hans"/>
              </w:rPr>
              <w:t>，</w:t>
            </w:r>
            <w:r>
              <w:rPr>
                <w:rFonts w:hint="eastAsia" w:ascii="仿宋_GB2312" w:hAnsi="仿宋_GB2312" w:eastAsia="仿宋_GB2312" w:cs="仿宋_GB2312"/>
                <w:b w:val="0"/>
                <w:bCs w:val="0"/>
                <w:color w:val="auto"/>
                <w:sz w:val="28"/>
                <w:szCs w:val="28"/>
                <w:lang w:val="en-US" w:eastAsia="zh-Hans"/>
              </w:rPr>
              <w:t>已完成线上培训</w:t>
            </w:r>
            <w:r>
              <w:rPr>
                <w:rFonts w:hint="eastAsia" w:ascii="仿宋_GB2312" w:hAnsi="仿宋_GB2312" w:eastAsia="仿宋_GB2312" w:cs="仿宋_GB2312"/>
                <w:b w:val="0"/>
                <w:bCs w:val="0"/>
                <w:color w:val="auto"/>
                <w:sz w:val="28"/>
                <w:szCs w:val="28"/>
                <w:lang w:eastAsia="zh-Hans"/>
              </w:rPr>
              <w:t>，30</w:t>
            </w:r>
            <w:r>
              <w:rPr>
                <w:rFonts w:hint="eastAsia" w:ascii="仿宋_GB2312" w:hAnsi="仿宋_GB2312" w:eastAsia="仿宋_GB2312" w:cs="仿宋_GB2312"/>
                <w:b w:val="0"/>
                <w:bCs w:val="0"/>
                <w:color w:val="auto"/>
                <w:sz w:val="28"/>
                <w:szCs w:val="28"/>
                <w:lang w:val="en-US" w:eastAsia="zh-Hans"/>
              </w:rPr>
              <w:t>人培训</w:t>
            </w:r>
            <w:r>
              <w:rPr>
                <w:rFonts w:hint="eastAsia" w:ascii="仿宋_GB2312" w:hAnsi="仿宋_GB2312" w:eastAsia="仿宋_GB2312" w:cs="仿宋_GB2312"/>
                <w:b w:val="0"/>
                <w:bCs w:val="0"/>
                <w:color w:val="auto"/>
                <w:sz w:val="28"/>
                <w:szCs w:val="28"/>
                <w:lang w:eastAsia="zh-Hans"/>
              </w:rPr>
              <w:t>，</w:t>
            </w:r>
            <w:r>
              <w:rPr>
                <w:rFonts w:hint="eastAsia" w:ascii="仿宋_GB2312" w:hAnsi="仿宋_GB2312" w:eastAsia="仿宋_GB2312" w:cs="仿宋_GB2312"/>
                <w:b w:val="0"/>
                <w:bCs w:val="0"/>
                <w:color w:val="auto"/>
                <w:sz w:val="28"/>
                <w:szCs w:val="28"/>
                <w:lang w:val="en-US" w:eastAsia="zh-Hans"/>
              </w:rPr>
              <w:t>其中有</w:t>
            </w:r>
            <w:r>
              <w:rPr>
                <w:rFonts w:hint="eastAsia" w:ascii="仿宋_GB2312" w:hAnsi="仿宋_GB2312" w:eastAsia="仿宋_GB2312" w:cs="仿宋_GB2312"/>
                <w:b w:val="0"/>
                <w:bCs w:val="0"/>
                <w:color w:val="auto"/>
                <w:sz w:val="28"/>
                <w:szCs w:val="28"/>
                <w:lang w:eastAsia="zh-Hans"/>
              </w:rPr>
              <w:t>90%</w:t>
            </w:r>
            <w:r>
              <w:rPr>
                <w:rFonts w:hint="eastAsia" w:ascii="仿宋_GB2312" w:hAnsi="仿宋_GB2312" w:eastAsia="仿宋_GB2312" w:cs="仿宋_GB2312"/>
                <w:b w:val="0"/>
                <w:bCs w:val="0"/>
                <w:color w:val="auto"/>
                <w:sz w:val="28"/>
                <w:szCs w:val="28"/>
                <w:lang w:val="en-US" w:eastAsia="zh-Hans"/>
              </w:rPr>
              <w:t>的学员通过考试并顺利拿到结业证书</w:t>
            </w:r>
            <w:r>
              <w:rPr>
                <w:rFonts w:hint="eastAsia" w:ascii="仿宋_GB2312" w:hAnsi="仿宋_GB2312" w:eastAsia="仿宋_GB2312" w:cs="仿宋_GB2312"/>
                <w:b w:val="0"/>
                <w:bCs w:val="0"/>
                <w:color w:val="auto"/>
                <w:sz w:val="28"/>
                <w:szCs w:val="28"/>
                <w:lang w:eastAsia="zh-Hans"/>
              </w:rPr>
              <w:t>。</w:t>
            </w:r>
          </w:p>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品目二;</w:t>
            </w:r>
            <w:r>
              <w:rPr>
                <w:rFonts w:hint="eastAsia" w:ascii="仿宋_GB2312" w:hAnsi="仿宋_GB2312" w:eastAsia="仿宋_GB2312" w:cs="仿宋_GB2312"/>
                <w:color w:val="auto"/>
                <w:sz w:val="28"/>
                <w:szCs w:val="28"/>
                <w:lang w:val="en-US" w:eastAsia="zh-CN"/>
              </w:rPr>
              <w:t>累计开展</w:t>
            </w:r>
            <w:r>
              <w:rPr>
                <w:rFonts w:hint="eastAsia" w:hAnsi="仿宋_GB2312" w:cs="仿宋_GB2312"/>
                <w:color w:val="auto"/>
                <w:sz w:val="28"/>
                <w:szCs w:val="28"/>
                <w:lang w:val="en-US" w:eastAsia="zh-CN"/>
              </w:rPr>
              <w:t>28</w:t>
            </w:r>
            <w:r>
              <w:rPr>
                <w:rFonts w:hint="eastAsia" w:ascii="仿宋_GB2312" w:hAnsi="仿宋_GB2312" w:eastAsia="仿宋_GB2312" w:cs="仿宋_GB2312"/>
                <w:color w:val="auto"/>
                <w:sz w:val="28"/>
                <w:szCs w:val="28"/>
              </w:rPr>
              <w:t>期线下培训，</w:t>
            </w:r>
            <w:r>
              <w:rPr>
                <w:rFonts w:hint="eastAsia" w:ascii="仿宋_GB2312" w:hAnsi="仿宋_GB2312" w:eastAsia="仿宋_GB2312" w:cs="仿宋_GB2312"/>
                <w:color w:val="auto"/>
                <w:sz w:val="28"/>
                <w:szCs w:val="28"/>
                <w:lang w:val="en-US" w:eastAsia="zh-CN"/>
              </w:rPr>
              <w:t>累计</w:t>
            </w:r>
            <w:r>
              <w:rPr>
                <w:rFonts w:hint="eastAsia" w:ascii="仿宋_GB2312" w:hAnsi="仿宋_GB2312" w:eastAsia="仿宋_GB2312" w:cs="仿宋_GB2312"/>
                <w:color w:val="auto"/>
                <w:sz w:val="28"/>
                <w:szCs w:val="28"/>
              </w:rPr>
              <w:t>培训人次</w:t>
            </w:r>
            <w:r>
              <w:rPr>
                <w:rFonts w:hint="eastAsia" w:hAnsi="仿宋_GB2312" w:cs="仿宋_GB2312"/>
                <w:color w:val="auto"/>
                <w:sz w:val="28"/>
                <w:szCs w:val="28"/>
                <w:lang w:val="en-US" w:eastAsia="zh-CN"/>
              </w:rPr>
              <w:t>1581</w:t>
            </w:r>
            <w:r>
              <w:rPr>
                <w:rFonts w:hint="eastAsia" w:ascii="仿宋_GB2312" w:hAnsi="仿宋_GB2312" w:eastAsia="仿宋_GB2312" w:cs="仿宋_GB2312"/>
                <w:color w:val="auto"/>
                <w:sz w:val="28"/>
                <w:szCs w:val="28"/>
              </w:rPr>
              <w:t>人</w:t>
            </w:r>
            <w:r>
              <w:rPr>
                <w:rFonts w:hint="eastAsia" w:hAnsi="仿宋_GB2312" w:cs="仿宋_GB2312"/>
                <w:color w:val="auto"/>
                <w:sz w:val="28"/>
                <w:szCs w:val="28"/>
                <w:lang w:eastAsia="zh-CN"/>
              </w:rPr>
              <w:t>次</w:t>
            </w:r>
            <w:r>
              <w:rPr>
                <w:rFonts w:hint="eastAsia" w:ascii="仿宋_GB2312" w:hAnsi="仿宋_GB2312" w:eastAsia="仿宋_GB2312" w:cs="仿宋_GB2312"/>
                <w:color w:val="auto"/>
                <w:sz w:val="28"/>
                <w:szCs w:val="28"/>
              </w:rPr>
              <w:t>。</w:t>
            </w:r>
          </w:p>
        </w:tc>
        <w:tc>
          <w:tcPr>
            <w:tcW w:w="1452" w:type="dxa"/>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南昌市西湖区捷径培训学校（人才培训品目一）</w:t>
            </w:r>
          </w:p>
        </w:tc>
        <w:tc>
          <w:tcPr>
            <w:tcW w:w="851" w:type="dxa"/>
            <w:vAlign w:val="center"/>
          </w:tcPr>
          <w:p>
            <w:pPr>
              <w:jc w:val="center"/>
              <w:rPr>
                <w:rFonts w:hint="eastAsia" w:ascii="仿宋_GB2312" w:hAnsi="仿宋_GB2312" w:eastAsia="仿宋_GB2312" w:cs="仿宋_GB2312"/>
                <w:color w:val="auto"/>
                <w:sz w:val="28"/>
                <w:szCs w:val="28"/>
                <w:lang w:eastAsia="zh-CN"/>
              </w:rPr>
            </w:pPr>
            <w:r>
              <w:rPr>
                <w:rFonts w:hint="eastAsia" w:hAnsi="仿宋_GB2312" w:cs="仿宋_GB2312"/>
                <w:color w:val="auto"/>
                <w:sz w:val="28"/>
                <w:szCs w:val="28"/>
                <w:lang w:eastAsia="zh-CN"/>
              </w:rPr>
              <w:t>刘登峰</w:t>
            </w:r>
          </w:p>
        </w:tc>
        <w:tc>
          <w:tcPr>
            <w:tcW w:w="960" w:type="dxa"/>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40.938</w:t>
            </w:r>
          </w:p>
        </w:tc>
        <w:tc>
          <w:tcPr>
            <w:tcW w:w="939" w:type="dxa"/>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8.1876</w:t>
            </w:r>
          </w:p>
        </w:tc>
        <w:tc>
          <w:tcPr>
            <w:tcW w:w="1400" w:type="dxa"/>
            <w:vMerge w:val="restart"/>
            <w:vAlign w:val="center"/>
          </w:tcPr>
          <w:p>
            <w:pPr>
              <w:jc w:val="center"/>
              <w:rPr>
                <w:rFonts w:hint="eastAsia" w:ascii="仿宋_GB2312" w:hAnsi="仿宋_GB2312" w:eastAsia="仿宋_GB2312" w:cs="仿宋_GB2312"/>
                <w:color w:val="auto"/>
                <w:sz w:val="28"/>
                <w:szCs w:val="28"/>
              </w:rPr>
            </w:pPr>
          </w:p>
        </w:tc>
        <w:tc>
          <w:tcPr>
            <w:tcW w:w="792" w:type="dxa"/>
            <w:vAlign w:val="center"/>
          </w:tcPr>
          <w:p>
            <w:pPr>
              <w:jc w:val="center"/>
              <w:rPr>
                <w:rFonts w:hint="eastAsia" w:ascii="仿宋_GB2312" w:hAnsi="仿宋_GB2312" w:eastAsia="仿宋_GB2312" w:cs="仿宋_GB2312"/>
                <w:color w:val="auto"/>
                <w:sz w:val="28"/>
                <w:szCs w:val="28"/>
              </w:rPr>
            </w:pPr>
          </w:p>
        </w:tc>
      </w:tr>
      <w:tr>
        <w:tblPrEx>
          <w:tblLayout w:type="fixed"/>
          <w:tblCellMar>
            <w:top w:w="0" w:type="dxa"/>
            <w:left w:w="108" w:type="dxa"/>
            <w:bottom w:w="0" w:type="dxa"/>
            <w:right w:w="108" w:type="dxa"/>
          </w:tblCellMar>
        </w:tblPrEx>
        <w:trPr>
          <w:trHeight w:val="1919" w:hRule="atLeast"/>
          <w:jc w:val="center"/>
        </w:trPr>
        <w:tc>
          <w:tcPr>
            <w:tcW w:w="886" w:type="dxa"/>
            <w:vMerge w:val="continue"/>
            <w:vAlign w:val="center"/>
          </w:tcPr>
          <w:p>
            <w:pPr>
              <w:jc w:val="center"/>
              <w:rPr>
                <w:rFonts w:hint="eastAsia" w:ascii="仿宋_GB2312" w:hAnsi="仿宋_GB2312" w:eastAsia="仿宋_GB2312" w:cs="仿宋_GB2312"/>
                <w:color w:val="auto"/>
                <w:sz w:val="28"/>
                <w:szCs w:val="28"/>
              </w:rPr>
            </w:pPr>
          </w:p>
        </w:tc>
        <w:tc>
          <w:tcPr>
            <w:tcW w:w="1050" w:type="dxa"/>
            <w:vMerge w:val="continue"/>
            <w:vAlign w:val="center"/>
          </w:tcPr>
          <w:p>
            <w:pPr>
              <w:spacing w:line="590" w:lineRule="exact"/>
              <w:jc w:val="center"/>
              <w:rPr>
                <w:rFonts w:hint="eastAsia" w:ascii="仿宋_GB2312" w:hAnsi="仿宋_GB2312" w:eastAsia="仿宋_GB2312" w:cs="仿宋_GB2312"/>
                <w:color w:val="auto"/>
                <w:sz w:val="28"/>
                <w:szCs w:val="28"/>
              </w:rPr>
            </w:pPr>
          </w:p>
        </w:tc>
        <w:tc>
          <w:tcPr>
            <w:tcW w:w="1150" w:type="dxa"/>
            <w:vMerge w:val="continue"/>
            <w:vAlign w:val="center"/>
          </w:tcPr>
          <w:p>
            <w:pPr>
              <w:jc w:val="center"/>
              <w:rPr>
                <w:rFonts w:hint="eastAsia" w:ascii="仿宋_GB2312" w:hAnsi="仿宋_GB2312" w:eastAsia="仿宋_GB2312" w:cs="仿宋_GB2312"/>
                <w:color w:val="auto"/>
                <w:kern w:val="0"/>
                <w:sz w:val="28"/>
                <w:szCs w:val="28"/>
              </w:rPr>
            </w:pPr>
          </w:p>
        </w:tc>
        <w:tc>
          <w:tcPr>
            <w:tcW w:w="4781" w:type="dxa"/>
            <w:vMerge w:val="continue"/>
            <w:vAlign w:val="center"/>
          </w:tcPr>
          <w:p>
            <w:pPr>
              <w:widowControl/>
              <w:pBdr>
                <w:top w:val="single" w:color="FFFFFF" w:sz="8" w:space="0"/>
                <w:left w:val="single" w:color="FFFFFF" w:sz="8" w:space="0"/>
                <w:bottom w:val="single" w:color="FFFFFF" w:sz="8" w:space="30"/>
                <w:right w:val="single" w:color="FFFFFF" w:sz="8" w:space="9"/>
              </w:pBdr>
              <w:shd w:val="clear" w:color="auto" w:fill="FFFFFF"/>
              <w:snapToGrid w:val="0"/>
              <w:spacing w:line="400" w:lineRule="exact"/>
              <w:jc w:val="center"/>
              <w:rPr>
                <w:rFonts w:hint="eastAsia" w:ascii="仿宋_GB2312" w:hAnsi="仿宋_GB2312" w:eastAsia="仿宋_GB2312" w:cs="仿宋_GB2312"/>
                <w:color w:val="auto"/>
                <w:sz w:val="28"/>
                <w:szCs w:val="28"/>
              </w:rPr>
            </w:pPr>
          </w:p>
        </w:tc>
        <w:tc>
          <w:tcPr>
            <w:tcW w:w="1020" w:type="dxa"/>
            <w:vMerge w:val="continue"/>
            <w:vAlign w:val="center"/>
          </w:tcPr>
          <w:p>
            <w:pPr>
              <w:jc w:val="center"/>
              <w:rPr>
                <w:rFonts w:hint="eastAsia" w:ascii="仿宋_GB2312" w:hAnsi="仿宋_GB2312" w:eastAsia="仿宋_GB2312" w:cs="仿宋_GB2312"/>
                <w:color w:val="auto"/>
                <w:sz w:val="28"/>
                <w:szCs w:val="28"/>
              </w:rPr>
            </w:pPr>
          </w:p>
        </w:tc>
        <w:tc>
          <w:tcPr>
            <w:tcW w:w="1515" w:type="dxa"/>
            <w:vMerge w:val="continue"/>
            <w:vAlign w:val="center"/>
          </w:tcPr>
          <w:p>
            <w:pPr>
              <w:jc w:val="center"/>
              <w:rPr>
                <w:rFonts w:hint="eastAsia" w:ascii="仿宋_GB2312" w:hAnsi="仿宋_GB2312" w:eastAsia="仿宋_GB2312" w:cs="仿宋_GB2312"/>
                <w:color w:val="auto"/>
                <w:kern w:val="0"/>
                <w:sz w:val="28"/>
                <w:szCs w:val="28"/>
              </w:rPr>
            </w:pPr>
          </w:p>
        </w:tc>
        <w:tc>
          <w:tcPr>
            <w:tcW w:w="2590" w:type="dxa"/>
            <w:vMerge w:val="continue"/>
            <w:vAlign w:val="center"/>
          </w:tcPr>
          <w:p>
            <w:pPr>
              <w:widowControl/>
              <w:jc w:val="center"/>
              <w:textAlignment w:val="center"/>
              <w:rPr>
                <w:rFonts w:hint="eastAsia" w:ascii="仿宋_GB2312" w:hAnsi="仿宋_GB2312" w:eastAsia="仿宋_GB2312" w:cs="仿宋_GB2312"/>
                <w:color w:val="auto"/>
                <w:sz w:val="28"/>
                <w:szCs w:val="28"/>
              </w:rPr>
            </w:pPr>
          </w:p>
        </w:tc>
        <w:tc>
          <w:tcPr>
            <w:tcW w:w="1452" w:type="dxa"/>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吉安市蓝天职业培训中心（人才培训品目二）</w:t>
            </w:r>
          </w:p>
        </w:tc>
        <w:tc>
          <w:tcPr>
            <w:tcW w:w="851" w:type="dxa"/>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崔文瑞</w:t>
            </w:r>
          </w:p>
        </w:tc>
        <w:tc>
          <w:tcPr>
            <w:tcW w:w="960" w:type="dxa"/>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68.8</w:t>
            </w:r>
          </w:p>
        </w:tc>
        <w:tc>
          <w:tcPr>
            <w:tcW w:w="939" w:type="dxa"/>
            <w:vAlign w:val="center"/>
          </w:tcPr>
          <w:p>
            <w:pPr>
              <w:widowControl/>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kern w:val="0"/>
                <w:sz w:val="28"/>
                <w:szCs w:val="28"/>
                <w:lang w:val="en-US" w:eastAsia="zh-CN" w:bidi="ar"/>
              </w:rPr>
              <w:t>55.04</w:t>
            </w:r>
          </w:p>
        </w:tc>
        <w:tc>
          <w:tcPr>
            <w:tcW w:w="1400" w:type="dxa"/>
            <w:vMerge w:val="continue"/>
            <w:vAlign w:val="center"/>
          </w:tcPr>
          <w:p>
            <w:pPr>
              <w:jc w:val="center"/>
              <w:rPr>
                <w:rFonts w:hint="eastAsia" w:ascii="仿宋_GB2312" w:hAnsi="仿宋_GB2312" w:eastAsia="仿宋_GB2312" w:cs="仿宋_GB2312"/>
                <w:color w:val="auto"/>
                <w:sz w:val="28"/>
                <w:szCs w:val="28"/>
              </w:rPr>
            </w:pPr>
          </w:p>
        </w:tc>
        <w:tc>
          <w:tcPr>
            <w:tcW w:w="792" w:type="dxa"/>
            <w:vAlign w:val="center"/>
          </w:tcPr>
          <w:p>
            <w:pPr>
              <w:jc w:val="center"/>
              <w:rPr>
                <w:rFonts w:hint="eastAsia" w:ascii="仿宋_GB2312" w:hAnsi="仿宋_GB2312" w:eastAsia="仿宋_GB2312" w:cs="仿宋_GB2312"/>
                <w:color w:val="auto"/>
                <w:sz w:val="28"/>
                <w:szCs w:val="28"/>
              </w:rPr>
            </w:pPr>
          </w:p>
        </w:tc>
      </w:tr>
      <w:tr>
        <w:tblPrEx>
          <w:tblLayout w:type="fixed"/>
          <w:tblCellMar>
            <w:top w:w="0" w:type="dxa"/>
            <w:left w:w="108" w:type="dxa"/>
            <w:bottom w:w="0" w:type="dxa"/>
            <w:right w:w="108" w:type="dxa"/>
          </w:tblCellMar>
        </w:tblPrEx>
        <w:trPr>
          <w:trHeight w:val="4612" w:hRule="atLeast"/>
          <w:jc w:val="center"/>
        </w:trPr>
        <w:tc>
          <w:tcPr>
            <w:tcW w:w="886" w:type="dxa"/>
            <w:vMerge w:val="restart"/>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p>
        </w:tc>
        <w:tc>
          <w:tcPr>
            <w:tcW w:w="1050" w:type="dxa"/>
            <w:vMerge w:val="restart"/>
            <w:vAlign w:val="center"/>
          </w:tcPr>
          <w:p>
            <w:pPr>
              <w:spacing w:line="590" w:lineRule="exact"/>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石府办字〔2020〕20号</w:t>
            </w:r>
            <w:r>
              <w:rPr>
                <w:rFonts w:hint="eastAsia" w:ascii="仿宋_GB2312" w:hAnsi="仿宋_GB2312" w:eastAsia="仿宋_GB2312" w:cs="仿宋_GB2312"/>
                <w:color w:val="auto"/>
                <w:sz w:val="28"/>
                <w:szCs w:val="28"/>
                <w:lang w:eastAsia="zh-CN"/>
              </w:rPr>
              <w:t>以及</w:t>
            </w:r>
            <w:r>
              <w:rPr>
                <w:rFonts w:hint="eastAsia" w:ascii="仿宋_GB2312" w:hAnsi="仿宋_GB2312" w:eastAsia="仿宋_GB2312" w:cs="仿宋_GB2312"/>
                <w:color w:val="auto"/>
                <w:sz w:val="28"/>
                <w:szCs w:val="28"/>
              </w:rPr>
              <w:t>石府办字〔202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34</w:t>
            </w:r>
            <w:r>
              <w:rPr>
                <w:rFonts w:hint="eastAsia" w:ascii="仿宋_GB2312" w:hAnsi="仿宋_GB2312" w:eastAsia="仿宋_GB2312" w:cs="仿宋_GB2312"/>
                <w:color w:val="auto"/>
                <w:sz w:val="28"/>
                <w:szCs w:val="28"/>
              </w:rPr>
              <w:t>号</w:t>
            </w:r>
          </w:p>
        </w:tc>
        <w:tc>
          <w:tcPr>
            <w:tcW w:w="1150" w:type="dxa"/>
            <w:vMerge w:val="restart"/>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石城县电子商务三级物流体系建设</w:t>
            </w:r>
          </w:p>
        </w:tc>
        <w:tc>
          <w:tcPr>
            <w:tcW w:w="4781" w:type="dxa"/>
            <w:vMerge w:val="restart"/>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支持邮政及本地的快递物流、电商、商贸物流等龙头企业提升完善石城县电子商务三级物流体系，并向社会物流快递企业提供免费或微利服务。一是建立完善县级快递物流集散中心，升级改造或补充购置快递分拣设备、配送车辆、冷链设施等设施设备，配备相应的物流配送工作人员。二是在全县各乡镇设立乡镇级物流服务点，在现有村级电商服务站点设立物流服务点，根据物流点分布情况优化县城到乡村的快递配送线路及网络。三是建立共享物流信息数据应用平台。四是制定相应的管理制度、登记流程、产品货架归类制度、问题件处理流程、配送员考核等制度。五是充分整合商务、交通、邮政、供销、农业农村、文广新旅等部门相关资源，鼓励物流快递配送企业、电子商务企业与社区便利店、行政村电商服务站、乡村客运点、快递揽货点、邮政寄递网店、益农社站点等，推广“网订店取”等新型配送模式，进一步降低本地物流快递配送成本，解决农产品进城“最初一公里”的物流瓶颈问题。鼓励有条件的区域合理规划，在区域节点建设仓储物流快递分中心，发展智慧物流。</w:t>
            </w:r>
          </w:p>
        </w:tc>
        <w:tc>
          <w:tcPr>
            <w:tcW w:w="1020" w:type="dxa"/>
            <w:vMerge w:val="restart"/>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400</w:t>
            </w:r>
          </w:p>
        </w:tc>
        <w:tc>
          <w:tcPr>
            <w:tcW w:w="1515" w:type="dxa"/>
            <w:vMerge w:val="restart"/>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物流快递服务覆盖100%的乡镇、现有村级电商服务站。物流配送中心的货件当天可送达（派出）各乡村、偏远乡村2天送达（派出），同时使得农村产品网络上行成本不高于全市平均水平。</w:t>
            </w:r>
          </w:p>
        </w:tc>
        <w:tc>
          <w:tcPr>
            <w:tcW w:w="2590" w:type="dxa"/>
            <w:vMerge w:val="restart"/>
            <w:vAlign w:val="center"/>
          </w:tcPr>
          <w:p>
            <w:pPr>
              <w:ind w:firstLine="544" w:firstLineChars="20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品目一：服务已覆盖石城所有镇村，所有进入县域集散中心的快件可以在24小时内完成到村服务，集散中心内成功引进多家电商从业人员，实现农产品上行仓配一站式服务，有效推进了我县电商发展。           品目二：已100%完成</w:t>
            </w:r>
          </w:p>
          <w:p>
            <w:pPr>
              <w:jc w:val="center"/>
              <w:rPr>
                <w:rFonts w:hint="eastAsia" w:ascii="仿宋_GB2312" w:hAnsi="仿宋_GB2312" w:eastAsia="仿宋_GB2312" w:cs="仿宋_GB2312"/>
                <w:color w:val="auto"/>
                <w:sz w:val="28"/>
                <w:szCs w:val="28"/>
              </w:rPr>
            </w:pPr>
          </w:p>
        </w:tc>
        <w:tc>
          <w:tcPr>
            <w:tcW w:w="1452" w:type="dxa"/>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石城县海通商贸有限公司（品目一）</w:t>
            </w:r>
          </w:p>
        </w:tc>
        <w:tc>
          <w:tcPr>
            <w:tcW w:w="851" w:type="dxa"/>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刘月明</w:t>
            </w:r>
          </w:p>
        </w:tc>
        <w:tc>
          <w:tcPr>
            <w:tcW w:w="960" w:type="dxa"/>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268</w:t>
            </w:r>
          </w:p>
        </w:tc>
        <w:tc>
          <w:tcPr>
            <w:tcW w:w="939" w:type="dxa"/>
            <w:vAlign w:val="center"/>
          </w:tcPr>
          <w:p>
            <w:pPr>
              <w:widowControl/>
              <w:jc w:val="center"/>
              <w:textAlignment w:val="center"/>
              <w:rPr>
                <w:rFonts w:hint="default" w:ascii="仿宋_GB2312" w:hAnsi="仿宋_GB2312" w:eastAsia="仿宋_GB2312" w:cs="仿宋_GB2312"/>
                <w:color w:val="auto"/>
                <w:sz w:val="28"/>
                <w:szCs w:val="28"/>
                <w:lang w:val="en-US" w:eastAsia="zh-CN"/>
              </w:rPr>
            </w:pPr>
            <w:r>
              <w:rPr>
                <w:rFonts w:hint="eastAsia" w:hAnsi="仿宋_GB2312" w:cs="仿宋_GB2312"/>
                <w:color w:val="auto"/>
                <w:kern w:val="0"/>
                <w:sz w:val="28"/>
                <w:szCs w:val="28"/>
                <w:lang w:val="en-US" w:eastAsia="zh-CN" w:bidi="ar"/>
              </w:rPr>
              <w:t>160.8</w:t>
            </w:r>
          </w:p>
        </w:tc>
        <w:tc>
          <w:tcPr>
            <w:tcW w:w="1400" w:type="dxa"/>
            <w:vMerge w:val="restart"/>
            <w:vAlign w:val="center"/>
          </w:tcPr>
          <w:p>
            <w:pPr>
              <w:jc w:val="center"/>
              <w:rPr>
                <w:rFonts w:hint="eastAsia" w:ascii="仿宋_GB2312" w:hAnsi="仿宋_GB2312" w:eastAsia="仿宋_GB2312" w:cs="仿宋_GB2312"/>
                <w:color w:val="auto"/>
                <w:sz w:val="28"/>
                <w:szCs w:val="28"/>
              </w:rPr>
            </w:pPr>
          </w:p>
        </w:tc>
        <w:tc>
          <w:tcPr>
            <w:tcW w:w="792" w:type="dxa"/>
            <w:vAlign w:val="center"/>
          </w:tcPr>
          <w:p>
            <w:pPr>
              <w:jc w:val="center"/>
              <w:rPr>
                <w:rFonts w:hint="eastAsia" w:ascii="仿宋_GB2312" w:hAnsi="仿宋_GB2312" w:eastAsia="仿宋_GB2312" w:cs="仿宋_GB2312"/>
                <w:color w:val="auto"/>
                <w:sz w:val="28"/>
                <w:szCs w:val="28"/>
              </w:rPr>
            </w:pPr>
          </w:p>
        </w:tc>
      </w:tr>
      <w:tr>
        <w:tblPrEx>
          <w:tblLayout w:type="fixed"/>
          <w:tblCellMar>
            <w:top w:w="0" w:type="dxa"/>
            <w:left w:w="108" w:type="dxa"/>
            <w:bottom w:w="0" w:type="dxa"/>
            <w:right w:w="108" w:type="dxa"/>
          </w:tblCellMar>
        </w:tblPrEx>
        <w:trPr>
          <w:trHeight w:val="1053" w:hRule="atLeast"/>
          <w:jc w:val="center"/>
        </w:trPr>
        <w:tc>
          <w:tcPr>
            <w:tcW w:w="886" w:type="dxa"/>
            <w:vMerge w:val="continue"/>
            <w:vAlign w:val="center"/>
          </w:tcPr>
          <w:p>
            <w:pPr>
              <w:jc w:val="center"/>
              <w:rPr>
                <w:rFonts w:hint="eastAsia" w:ascii="仿宋_GB2312" w:hAnsi="仿宋_GB2312" w:eastAsia="仿宋_GB2312" w:cs="仿宋_GB2312"/>
                <w:color w:val="auto"/>
                <w:sz w:val="28"/>
                <w:szCs w:val="28"/>
              </w:rPr>
            </w:pPr>
          </w:p>
        </w:tc>
        <w:tc>
          <w:tcPr>
            <w:tcW w:w="1050" w:type="dxa"/>
            <w:vMerge w:val="continue"/>
            <w:vAlign w:val="center"/>
          </w:tcPr>
          <w:p>
            <w:pPr>
              <w:spacing w:line="590" w:lineRule="exact"/>
              <w:jc w:val="center"/>
              <w:rPr>
                <w:rFonts w:hint="eastAsia" w:ascii="仿宋_GB2312" w:hAnsi="仿宋_GB2312" w:eastAsia="仿宋_GB2312" w:cs="仿宋_GB2312"/>
                <w:color w:val="auto"/>
                <w:sz w:val="28"/>
                <w:szCs w:val="28"/>
              </w:rPr>
            </w:pPr>
          </w:p>
        </w:tc>
        <w:tc>
          <w:tcPr>
            <w:tcW w:w="1150" w:type="dxa"/>
            <w:vMerge w:val="continue"/>
            <w:vAlign w:val="center"/>
          </w:tcPr>
          <w:p>
            <w:pPr>
              <w:jc w:val="center"/>
              <w:rPr>
                <w:rFonts w:hint="eastAsia" w:ascii="仿宋_GB2312" w:hAnsi="仿宋_GB2312" w:eastAsia="仿宋_GB2312" w:cs="仿宋_GB2312"/>
                <w:color w:val="auto"/>
                <w:kern w:val="0"/>
                <w:sz w:val="28"/>
                <w:szCs w:val="28"/>
              </w:rPr>
            </w:pPr>
          </w:p>
        </w:tc>
        <w:tc>
          <w:tcPr>
            <w:tcW w:w="4781" w:type="dxa"/>
            <w:vMerge w:val="continue"/>
            <w:vAlign w:val="center"/>
          </w:tcPr>
          <w:p>
            <w:pPr>
              <w:jc w:val="center"/>
              <w:rPr>
                <w:rFonts w:hint="eastAsia" w:ascii="仿宋_GB2312" w:hAnsi="仿宋_GB2312" w:eastAsia="仿宋_GB2312" w:cs="仿宋_GB2312"/>
                <w:color w:val="auto"/>
                <w:sz w:val="28"/>
                <w:szCs w:val="28"/>
              </w:rPr>
            </w:pPr>
          </w:p>
        </w:tc>
        <w:tc>
          <w:tcPr>
            <w:tcW w:w="1020" w:type="dxa"/>
            <w:vMerge w:val="continue"/>
            <w:vAlign w:val="center"/>
          </w:tcPr>
          <w:p>
            <w:pPr>
              <w:jc w:val="center"/>
              <w:rPr>
                <w:rFonts w:hint="eastAsia" w:ascii="仿宋_GB2312" w:hAnsi="仿宋_GB2312" w:eastAsia="仿宋_GB2312" w:cs="仿宋_GB2312"/>
                <w:color w:val="auto"/>
                <w:sz w:val="28"/>
                <w:szCs w:val="28"/>
              </w:rPr>
            </w:pPr>
          </w:p>
        </w:tc>
        <w:tc>
          <w:tcPr>
            <w:tcW w:w="1515" w:type="dxa"/>
            <w:vMerge w:val="continue"/>
            <w:vAlign w:val="center"/>
          </w:tcPr>
          <w:p>
            <w:pPr>
              <w:jc w:val="center"/>
              <w:rPr>
                <w:rFonts w:hint="eastAsia" w:ascii="仿宋_GB2312" w:hAnsi="仿宋_GB2312" w:eastAsia="仿宋_GB2312" w:cs="仿宋_GB2312"/>
                <w:color w:val="auto"/>
                <w:kern w:val="0"/>
                <w:sz w:val="28"/>
                <w:szCs w:val="28"/>
              </w:rPr>
            </w:pPr>
          </w:p>
        </w:tc>
        <w:tc>
          <w:tcPr>
            <w:tcW w:w="2590" w:type="dxa"/>
            <w:vMerge w:val="continue"/>
            <w:vAlign w:val="center"/>
          </w:tcPr>
          <w:p>
            <w:pPr>
              <w:jc w:val="center"/>
              <w:rPr>
                <w:rFonts w:hint="eastAsia" w:ascii="仿宋_GB2312" w:hAnsi="仿宋_GB2312" w:eastAsia="仿宋_GB2312" w:cs="仿宋_GB2312"/>
                <w:color w:val="auto"/>
                <w:sz w:val="28"/>
                <w:szCs w:val="28"/>
              </w:rPr>
            </w:pPr>
          </w:p>
        </w:tc>
        <w:tc>
          <w:tcPr>
            <w:tcW w:w="1452" w:type="dxa"/>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深圳东鸟信息科技有限公司（品目二）</w:t>
            </w:r>
          </w:p>
        </w:tc>
        <w:tc>
          <w:tcPr>
            <w:tcW w:w="851" w:type="dxa"/>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林子琪</w:t>
            </w:r>
          </w:p>
        </w:tc>
        <w:tc>
          <w:tcPr>
            <w:tcW w:w="960" w:type="dxa"/>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126.6</w:t>
            </w:r>
          </w:p>
        </w:tc>
        <w:tc>
          <w:tcPr>
            <w:tcW w:w="939" w:type="dxa"/>
            <w:vAlign w:val="center"/>
          </w:tcPr>
          <w:p>
            <w:pPr>
              <w:widowControl/>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kern w:val="0"/>
                <w:sz w:val="28"/>
                <w:szCs w:val="28"/>
                <w:lang w:val="en-US" w:eastAsia="zh-CN" w:bidi="ar"/>
              </w:rPr>
              <w:t>75.96</w:t>
            </w:r>
          </w:p>
        </w:tc>
        <w:tc>
          <w:tcPr>
            <w:tcW w:w="1400" w:type="dxa"/>
            <w:vMerge w:val="continue"/>
            <w:vAlign w:val="center"/>
          </w:tcPr>
          <w:p>
            <w:pPr>
              <w:jc w:val="center"/>
              <w:rPr>
                <w:rFonts w:hint="eastAsia" w:ascii="仿宋_GB2312" w:hAnsi="仿宋_GB2312" w:eastAsia="仿宋_GB2312" w:cs="仿宋_GB2312"/>
                <w:color w:val="auto"/>
                <w:sz w:val="28"/>
                <w:szCs w:val="28"/>
              </w:rPr>
            </w:pPr>
          </w:p>
        </w:tc>
        <w:tc>
          <w:tcPr>
            <w:tcW w:w="792" w:type="dxa"/>
            <w:vAlign w:val="center"/>
          </w:tcPr>
          <w:p>
            <w:pPr>
              <w:jc w:val="center"/>
              <w:rPr>
                <w:rFonts w:hint="eastAsia" w:ascii="仿宋_GB2312" w:hAnsi="仿宋_GB2312" w:eastAsia="仿宋_GB2312" w:cs="仿宋_GB2312"/>
                <w:color w:val="auto"/>
                <w:sz w:val="28"/>
                <w:szCs w:val="28"/>
              </w:rPr>
            </w:pPr>
          </w:p>
        </w:tc>
      </w:tr>
      <w:tr>
        <w:tblPrEx>
          <w:tblLayout w:type="fixed"/>
          <w:tblCellMar>
            <w:top w:w="0" w:type="dxa"/>
            <w:left w:w="108" w:type="dxa"/>
            <w:bottom w:w="0" w:type="dxa"/>
            <w:right w:w="108" w:type="dxa"/>
          </w:tblCellMar>
        </w:tblPrEx>
        <w:trPr>
          <w:trHeight w:val="3322" w:hRule="atLeast"/>
          <w:jc w:val="center"/>
        </w:trPr>
        <w:tc>
          <w:tcPr>
            <w:tcW w:w="886" w:type="dxa"/>
            <w:vMerge w:val="restart"/>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w:t>
            </w:r>
          </w:p>
        </w:tc>
        <w:tc>
          <w:tcPr>
            <w:tcW w:w="1050" w:type="dxa"/>
            <w:vMerge w:val="restart"/>
            <w:vAlign w:val="center"/>
          </w:tcPr>
          <w:p>
            <w:pPr>
              <w:spacing w:line="590" w:lineRule="exact"/>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石府办字〔2020〕20号</w:t>
            </w:r>
            <w:r>
              <w:rPr>
                <w:rFonts w:hint="eastAsia" w:ascii="仿宋_GB2312" w:hAnsi="仿宋_GB2312" w:eastAsia="仿宋_GB2312" w:cs="仿宋_GB2312"/>
                <w:color w:val="auto"/>
                <w:sz w:val="28"/>
                <w:szCs w:val="28"/>
                <w:lang w:eastAsia="zh-CN"/>
              </w:rPr>
              <w:t>以及</w:t>
            </w:r>
            <w:r>
              <w:rPr>
                <w:rFonts w:hint="eastAsia" w:ascii="仿宋_GB2312" w:hAnsi="仿宋_GB2312" w:eastAsia="仿宋_GB2312" w:cs="仿宋_GB2312"/>
                <w:color w:val="auto"/>
                <w:sz w:val="28"/>
                <w:szCs w:val="28"/>
              </w:rPr>
              <w:t>石府办字〔202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34</w:t>
            </w:r>
            <w:r>
              <w:rPr>
                <w:rFonts w:hint="eastAsia" w:ascii="仿宋_GB2312" w:hAnsi="仿宋_GB2312" w:eastAsia="仿宋_GB2312" w:cs="仿宋_GB2312"/>
                <w:color w:val="auto"/>
                <w:sz w:val="28"/>
                <w:szCs w:val="28"/>
              </w:rPr>
              <w:t>号</w:t>
            </w:r>
          </w:p>
        </w:tc>
        <w:tc>
          <w:tcPr>
            <w:tcW w:w="1150" w:type="dxa"/>
            <w:vMerge w:val="restart"/>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石城县农村产品上行服务体系建设</w:t>
            </w:r>
          </w:p>
        </w:tc>
        <w:tc>
          <w:tcPr>
            <w:tcW w:w="4781" w:type="dxa"/>
            <w:vMerge w:val="restart"/>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围绕石城白莲、薏仁、翻秋花生、脐橙、蔬菜等特色农产品上行开展分级、加工、包装、预冷和配送等基础设施建设，扶持县域农产品企业开展国家地理标志、国家生态原产地产品保护认定和无公害农产品、绿色有机食品等认证。推进石城白莲、薏仁、翻秋花生、脐橙、蔬菜等特色农村产品的生产与流通标准应用、生产许可、商标注册、品牌培育、品控溯源和质量认证等综合服务体系建设，促进石城县农村产品标准化、规模化生产，推动农村产品商品化、品牌化、网货化。大力支持石城白莲、薏仁、翻秋花生、脐橙、蔬菜等线上销售，重点扶持公益扶贫项目，选择有影响力的第三方平台合作建设线上扶贫推广平台，开展农产品电商扶贫活动，为群众脱贫致富提供良好契机。</w:t>
            </w:r>
            <w:bookmarkStart w:id="0" w:name="_Hlk36133158"/>
            <w:r>
              <w:rPr>
                <w:rFonts w:hint="eastAsia" w:ascii="仿宋_GB2312" w:hAnsi="仿宋_GB2312" w:eastAsia="仿宋_GB2312" w:cs="仿宋_GB2312"/>
                <w:color w:val="auto"/>
                <w:sz w:val="28"/>
                <w:szCs w:val="28"/>
              </w:rPr>
              <w:t>探索电子商务与鞋服、旅游产业融合发展模式，鼓励传统产业线上多渠道发展。</w:t>
            </w:r>
            <w:bookmarkEnd w:id="0"/>
          </w:p>
        </w:tc>
        <w:tc>
          <w:tcPr>
            <w:tcW w:w="1020" w:type="dxa"/>
            <w:vMerge w:val="restart"/>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410</w:t>
            </w:r>
          </w:p>
        </w:tc>
        <w:tc>
          <w:tcPr>
            <w:tcW w:w="1515" w:type="dxa"/>
            <w:vMerge w:val="restart"/>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培育打造“石城白莲”等公共品牌并广泛用于农村产品上行，制定白莲等优势产业的标准化，形成石城白莲等特色产品的品控体系，全面提升我县农产品品牌影响力，重点打造扶贫效果明显的优势产业。促进我县优势农产品标准化、规模化生产，完善农产品加工、包装、冷链仓储等发展，促进农产品线上线下销售融合发展。</w:t>
            </w:r>
          </w:p>
        </w:tc>
        <w:tc>
          <w:tcPr>
            <w:tcW w:w="2590" w:type="dxa"/>
            <w:vMerge w:val="restart"/>
            <w:vAlign w:val="center"/>
          </w:tcPr>
          <w:p>
            <w:pPr>
              <w:spacing w:line="500" w:lineRule="exact"/>
              <w:jc w:val="center"/>
              <w:rPr>
                <w:rFonts w:hint="eastAsia" w:ascii="仿宋_GB2312" w:hAnsi="仿宋_GB2312" w:eastAsia="仿宋_GB2312" w:cs="仿宋_GB2312"/>
                <w:b w:val="0"/>
                <w:i w:val="0"/>
                <w:caps w:val="0"/>
                <w:color w:val="auto"/>
                <w:spacing w:val="0"/>
                <w:kern w:val="2"/>
                <w:sz w:val="28"/>
                <w:szCs w:val="28"/>
                <w:u w:val="none"/>
                <w:lang w:val="en-US" w:eastAsia="zh-CN" w:bidi="ar-SA"/>
              </w:rPr>
            </w:pPr>
            <w:r>
              <w:rPr>
                <w:rFonts w:hint="eastAsia" w:ascii="仿宋_GB2312" w:hAnsi="仿宋_GB2312" w:eastAsia="仿宋_GB2312" w:cs="仿宋_GB2312"/>
                <w:b w:val="0"/>
                <w:i w:val="0"/>
                <w:caps w:val="0"/>
                <w:color w:val="auto"/>
                <w:spacing w:val="0"/>
                <w:kern w:val="2"/>
                <w:sz w:val="28"/>
                <w:szCs w:val="28"/>
                <w:u w:val="none"/>
                <w:lang w:val="en-US" w:eastAsia="zh-CN" w:bidi="ar-SA"/>
              </w:rPr>
              <w:t>品目一：</w:t>
            </w:r>
            <w:r>
              <w:rPr>
                <w:rFonts w:hint="eastAsia" w:ascii="仿宋_GB2312" w:hAnsi="仿宋_GB2312" w:eastAsia="仿宋_GB2312" w:cs="仿宋_GB2312"/>
                <w:b w:val="0"/>
                <w:i w:val="0"/>
                <w:caps w:val="0"/>
                <w:color w:val="auto"/>
                <w:spacing w:val="0"/>
                <w:kern w:val="2"/>
                <w:sz w:val="28"/>
                <w:szCs w:val="28"/>
                <w:u w:val="none"/>
                <w:lang w:val="en-US" w:eastAsia="zh-Hans" w:bidi="ar-SA"/>
              </w:rPr>
              <w:t>“</w:t>
            </w:r>
            <w:r>
              <w:rPr>
                <w:rFonts w:hint="eastAsia" w:ascii="仿宋_GB2312" w:hAnsi="仿宋_GB2312" w:eastAsia="仿宋_GB2312" w:cs="仿宋_GB2312"/>
                <w:b w:val="0"/>
                <w:i w:val="0"/>
                <w:caps w:val="0"/>
                <w:color w:val="auto"/>
                <w:spacing w:val="0"/>
                <w:kern w:val="2"/>
                <w:sz w:val="28"/>
                <w:szCs w:val="28"/>
                <w:u w:val="none"/>
                <w:lang w:val="en-US" w:eastAsia="zh-CN" w:bidi="ar-SA"/>
              </w:rPr>
              <w:t>石城白莲”区域性公共品牌版块</w:t>
            </w:r>
            <w:r>
              <w:rPr>
                <w:rFonts w:hint="eastAsia" w:ascii="仿宋_GB2312" w:hAnsi="仿宋_GB2312" w:eastAsia="仿宋_GB2312" w:cs="仿宋_GB2312"/>
                <w:b w:val="0"/>
                <w:i w:val="0"/>
                <w:caps w:val="0"/>
                <w:color w:val="auto"/>
                <w:spacing w:val="0"/>
                <w:kern w:val="2"/>
                <w:sz w:val="28"/>
                <w:szCs w:val="28"/>
                <w:u w:val="none"/>
                <w:lang w:val="en-US" w:eastAsia="zh-Hans" w:bidi="ar-SA"/>
              </w:rPr>
              <w:t>已完成</w:t>
            </w:r>
            <w:r>
              <w:rPr>
                <w:rFonts w:hint="eastAsia" w:ascii="仿宋_GB2312" w:hAnsi="仿宋_GB2312" w:eastAsia="仿宋_GB2312" w:cs="仿宋_GB2312"/>
                <w:b w:val="0"/>
                <w:i w:val="0"/>
                <w:caps w:val="0"/>
                <w:color w:val="auto"/>
                <w:spacing w:val="0"/>
                <w:kern w:val="2"/>
                <w:sz w:val="28"/>
                <w:szCs w:val="28"/>
                <w:u w:val="none"/>
                <w:lang w:val="en-US" w:eastAsia="zh-CN" w:bidi="ar-SA"/>
              </w:rPr>
              <w:t>《品牌管理体系方案》、《石城白莲产品标准体系》、《品牌vi应用标准体系方案》、《营销推广及运营管理体系》</w:t>
            </w:r>
            <w:r>
              <w:rPr>
                <w:rFonts w:hint="eastAsia" w:ascii="仿宋_GB2312" w:hAnsi="仿宋_GB2312" w:eastAsia="仿宋_GB2312" w:cs="仿宋_GB2312"/>
                <w:b w:val="0"/>
                <w:i w:val="0"/>
                <w:caps w:val="0"/>
                <w:color w:val="auto"/>
                <w:spacing w:val="0"/>
                <w:kern w:val="2"/>
                <w:sz w:val="28"/>
                <w:szCs w:val="28"/>
                <w:highlight w:val="red"/>
                <w:u w:val="none"/>
                <w:lang w:val="en-US" w:eastAsia="zh-CN" w:bidi="ar-SA"/>
              </w:rPr>
              <w:t>等</w:t>
            </w:r>
            <w:r>
              <w:rPr>
                <w:rFonts w:hint="eastAsia" w:ascii="仿宋_GB2312" w:hAnsi="仿宋_GB2312" w:eastAsia="仿宋_GB2312" w:cs="仿宋_GB2312"/>
                <w:b w:val="0"/>
                <w:i w:val="0"/>
                <w:caps w:val="0"/>
                <w:color w:val="auto"/>
                <w:spacing w:val="0"/>
                <w:kern w:val="2"/>
                <w:sz w:val="28"/>
                <w:szCs w:val="28"/>
                <w:highlight w:val="red"/>
                <w:u w:val="none"/>
                <w:lang w:val="en-US" w:eastAsia="zh-Hans" w:bidi="ar-SA"/>
              </w:rPr>
              <w:t>方案</w:t>
            </w:r>
            <w:r>
              <w:rPr>
                <w:rFonts w:hint="eastAsia" w:hAnsi="仿宋_GB2312" w:cs="仿宋_GB2312"/>
                <w:b w:val="0"/>
                <w:i w:val="0"/>
                <w:caps w:val="0"/>
                <w:color w:val="auto"/>
                <w:spacing w:val="0"/>
                <w:kern w:val="2"/>
                <w:sz w:val="28"/>
                <w:szCs w:val="28"/>
                <w:highlight w:val="red"/>
                <w:u w:val="none"/>
                <w:lang w:val="en-US" w:eastAsia="zh-CN" w:bidi="ar-SA"/>
              </w:rPr>
              <w:t>并通过小组会议标志已向版权中心登记完成。</w:t>
            </w:r>
            <w:r>
              <w:rPr>
                <w:rFonts w:hint="eastAsia" w:ascii="仿宋_GB2312" w:hAnsi="仿宋_GB2312" w:eastAsia="仿宋_GB2312" w:cs="仿宋_GB2312"/>
                <w:b w:val="0"/>
                <w:i w:val="0"/>
                <w:caps w:val="0"/>
                <w:color w:val="auto"/>
                <w:spacing w:val="0"/>
                <w:kern w:val="2"/>
                <w:sz w:val="28"/>
                <w:szCs w:val="28"/>
                <w:u w:val="none"/>
                <w:lang w:val="en-US" w:eastAsia="zh-CN" w:bidi="ar-SA"/>
              </w:rPr>
              <w:t>白莲初加工基地建设版块。与县</w:t>
            </w:r>
            <w:r>
              <w:rPr>
                <w:rFonts w:hint="eastAsia" w:ascii="仿宋_GB2312" w:hAnsi="仿宋_GB2312" w:eastAsia="仿宋_GB2312" w:cs="仿宋_GB2312"/>
                <w:b w:val="0"/>
                <w:i w:val="0"/>
                <w:caps w:val="0"/>
                <w:color w:val="auto"/>
                <w:spacing w:val="0"/>
                <w:kern w:val="2"/>
                <w:sz w:val="28"/>
                <w:szCs w:val="28"/>
                <w:u w:val="none"/>
                <w:lang w:val="en-US" w:eastAsia="zh-Hans" w:bidi="ar-SA"/>
              </w:rPr>
              <w:t>农发公司联合</w:t>
            </w:r>
            <w:r>
              <w:rPr>
                <w:rFonts w:hint="eastAsia" w:ascii="仿宋_GB2312" w:hAnsi="仿宋_GB2312" w:eastAsia="仿宋_GB2312" w:cs="仿宋_GB2312"/>
                <w:b w:val="0"/>
                <w:i w:val="0"/>
                <w:caps w:val="0"/>
                <w:color w:val="auto"/>
                <w:spacing w:val="0"/>
                <w:kern w:val="2"/>
                <w:sz w:val="28"/>
                <w:szCs w:val="28"/>
                <w:u w:val="none"/>
                <w:lang w:val="en-US" w:eastAsia="zh-CN" w:bidi="ar-SA"/>
              </w:rPr>
              <w:t>建成石城白莲初加工基地，初加工基地分为鲜莲加工区、冷藏区和干莲加工区，具备去皮、去壳、去芯、冷藏、烘干、筛选、分装等功能，制定了相关管理制度和对外公共服务费率。已投入使用，并有相关记录。</w:t>
            </w:r>
          </w:p>
          <w:p>
            <w:pPr>
              <w:spacing w:line="500" w:lineRule="exact"/>
              <w:jc w:val="center"/>
              <w:rPr>
                <w:rFonts w:hint="eastAsia" w:ascii="仿宋_GB2312" w:hAnsi="仿宋_GB2312" w:eastAsia="仿宋_GB2312" w:cs="仿宋_GB2312"/>
                <w:b w:val="0"/>
                <w:i w:val="0"/>
                <w:caps w:val="0"/>
                <w:color w:val="auto"/>
                <w:spacing w:val="0"/>
                <w:kern w:val="2"/>
                <w:sz w:val="28"/>
                <w:szCs w:val="28"/>
                <w:u w:val="none"/>
                <w:lang w:val="en-US" w:eastAsia="zh-CN" w:bidi="ar-SA"/>
              </w:rPr>
            </w:pPr>
            <w:r>
              <w:rPr>
                <w:rFonts w:hint="eastAsia" w:ascii="仿宋_GB2312" w:hAnsi="仿宋_GB2312" w:eastAsia="仿宋_GB2312" w:cs="仿宋_GB2312"/>
                <w:b w:val="0"/>
                <w:i w:val="0"/>
                <w:caps w:val="0"/>
                <w:color w:val="auto"/>
                <w:spacing w:val="0"/>
                <w:kern w:val="2"/>
                <w:sz w:val="28"/>
                <w:szCs w:val="28"/>
                <w:u w:val="none"/>
                <w:lang w:val="en-US" w:eastAsia="zh-CN" w:bidi="ar-SA"/>
              </w:rPr>
              <w:t>支持加大农村产品产销对接，促进网上销售版块。一是已与本地5家网商签订扶持协议，根据企业需求提供了农产品包装设计，淘宝、抖音店铺主页设计等增值服务。二是已选定10家本地企业，帮助其入驻各类电商平台或直播平台。目前已完成10家</w:t>
            </w:r>
            <w:r>
              <w:rPr>
                <w:rFonts w:hint="eastAsia" w:ascii="仿宋_GB2312" w:hAnsi="仿宋_GB2312" w:eastAsia="仿宋_GB2312" w:cs="仿宋_GB2312"/>
                <w:b w:val="0"/>
                <w:i w:val="0"/>
                <w:caps w:val="0"/>
                <w:color w:val="auto"/>
                <w:spacing w:val="0"/>
                <w:kern w:val="2"/>
                <w:sz w:val="28"/>
                <w:szCs w:val="28"/>
                <w:u w:val="none"/>
                <w:lang w:val="en-US" w:eastAsia="zh-Hans" w:bidi="ar-SA"/>
              </w:rPr>
              <w:t>企业</w:t>
            </w:r>
            <w:r>
              <w:rPr>
                <w:rFonts w:hint="eastAsia" w:ascii="仿宋_GB2312" w:hAnsi="仿宋_GB2312" w:eastAsia="仿宋_GB2312" w:cs="仿宋_GB2312"/>
                <w:b w:val="0"/>
                <w:i w:val="0"/>
                <w:caps w:val="0"/>
                <w:color w:val="auto"/>
                <w:spacing w:val="0"/>
                <w:kern w:val="2"/>
                <w:sz w:val="28"/>
                <w:szCs w:val="28"/>
                <w:u w:val="none"/>
                <w:lang w:val="en-US" w:eastAsia="zh-CN" w:bidi="ar-SA"/>
              </w:rPr>
              <w:t>入驻淘宝店铺</w:t>
            </w:r>
            <w:r>
              <w:rPr>
                <w:rFonts w:hint="eastAsia" w:ascii="仿宋_GB2312" w:hAnsi="仿宋_GB2312" w:eastAsia="仿宋_GB2312" w:cs="仿宋_GB2312"/>
                <w:b w:val="0"/>
                <w:i w:val="0"/>
                <w:caps w:val="0"/>
                <w:color w:val="auto"/>
                <w:spacing w:val="0"/>
                <w:kern w:val="2"/>
                <w:sz w:val="28"/>
                <w:szCs w:val="28"/>
                <w:u w:val="none"/>
                <w:lang w:val="en-US" w:eastAsia="zh-Hans" w:bidi="ar-SA"/>
              </w:rPr>
              <w:t>和抖音</w:t>
            </w:r>
            <w:r>
              <w:rPr>
                <w:rFonts w:hint="eastAsia" w:ascii="仿宋_GB2312" w:hAnsi="仿宋_GB2312" w:eastAsia="仿宋_GB2312" w:cs="仿宋_GB2312"/>
                <w:b w:val="0"/>
                <w:i w:val="0"/>
                <w:caps w:val="0"/>
                <w:color w:val="auto"/>
                <w:spacing w:val="0"/>
                <w:kern w:val="2"/>
                <w:sz w:val="28"/>
                <w:szCs w:val="28"/>
                <w:u w:val="none"/>
                <w:lang w:val="en-US" w:eastAsia="zh-CN" w:bidi="ar-SA"/>
              </w:rPr>
              <w:t>店铺，从协议签订起已帮扶</w:t>
            </w:r>
            <w:r>
              <w:rPr>
                <w:rFonts w:hint="eastAsia" w:ascii="仿宋_GB2312" w:hAnsi="仿宋_GB2312" w:eastAsia="仿宋_GB2312" w:cs="仿宋_GB2312"/>
                <w:b w:val="0"/>
                <w:i w:val="0"/>
                <w:caps w:val="0"/>
                <w:color w:val="auto"/>
                <w:spacing w:val="0"/>
                <w:kern w:val="2"/>
                <w:sz w:val="28"/>
                <w:szCs w:val="28"/>
                <w:u w:val="none"/>
                <w:lang w:val="en-US" w:eastAsia="zh-Hans" w:bidi="ar-SA"/>
              </w:rPr>
              <w:t>企业</w:t>
            </w:r>
            <w:r>
              <w:rPr>
                <w:rFonts w:hint="eastAsia" w:ascii="仿宋_GB2312" w:hAnsi="仿宋_GB2312" w:eastAsia="仿宋_GB2312" w:cs="仿宋_GB2312"/>
                <w:b w:val="0"/>
                <w:i w:val="0"/>
                <w:caps w:val="0"/>
                <w:color w:val="auto"/>
                <w:spacing w:val="0"/>
                <w:kern w:val="2"/>
                <w:sz w:val="28"/>
                <w:szCs w:val="28"/>
                <w:u w:val="none"/>
                <w:lang w:val="en-US" w:eastAsia="zh-CN" w:bidi="ar-SA"/>
              </w:rPr>
              <w:t>总</w:t>
            </w:r>
            <w:r>
              <w:rPr>
                <w:rFonts w:hint="eastAsia" w:ascii="仿宋_GB2312" w:hAnsi="仿宋_GB2312" w:eastAsia="仿宋_GB2312" w:cs="仿宋_GB2312"/>
                <w:b w:val="0"/>
                <w:i w:val="0"/>
                <w:caps w:val="0"/>
                <w:color w:val="auto"/>
                <w:spacing w:val="0"/>
                <w:kern w:val="2"/>
                <w:sz w:val="28"/>
                <w:szCs w:val="28"/>
                <w:u w:val="none"/>
                <w:lang w:val="en-US" w:eastAsia="zh-Hans" w:bidi="ar-SA"/>
              </w:rPr>
              <w:t>营销额约达200万。</w:t>
            </w:r>
            <w:r>
              <w:rPr>
                <w:rFonts w:hint="eastAsia" w:ascii="仿宋_GB2312" w:hAnsi="仿宋_GB2312" w:eastAsia="仿宋_GB2312" w:cs="仿宋_GB2312"/>
                <w:b w:val="0"/>
                <w:i w:val="0"/>
                <w:caps w:val="0"/>
                <w:color w:val="auto"/>
                <w:spacing w:val="0"/>
                <w:kern w:val="2"/>
                <w:sz w:val="28"/>
                <w:szCs w:val="28"/>
                <w:u w:val="none"/>
                <w:lang w:val="en-US" w:eastAsia="zh-CN" w:bidi="ar-SA"/>
              </w:rPr>
              <w:t>三是已于2021年9月15日至2021年9月18日举办</w:t>
            </w:r>
            <w:r>
              <w:rPr>
                <w:rFonts w:hint="eastAsia" w:ascii="仿宋_GB2312" w:hAnsi="仿宋_GB2312" w:eastAsia="仿宋_GB2312" w:cs="仿宋_GB2312"/>
                <w:b w:val="0"/>
                <w:i w:val="0"/>
                <w:caps w:val="0"/>
                <w:color w:val="auto"/>
                <w:spacing w:val="0"/>
                <w:kern w:val="2"/>
                <w:sz w:val="28"/>
                <w:szCs w:val="28"/>
                <w:u w:val="none"/>
                <w:lang w:val="en-US" w:eastAsia="zh-Hans" w:bidi="ar-SA"/>
              </w:rPr>
              <w:t>直播创业比赛，</w:t>
            </w:r>
            <w:r>
              <w:rPr>
                <w:rFonts w:hint="eastAsia" w:ascii="仿宋_GB2312" w:hAnsi="仿宋_GB2312" w:eastAsia="仿宋_GB2312" w:cs="仿宋_GB2312"/>
                <w:b w:val="0"/>
                <w:i w:val="0"/>
                <w:caps w:val="0"/>
                <w:color w:val="auto"/>
                <w:spacing w:val="0"/>
                <w:kern w:val="2"/>
                <w:sz w:val="28"/>
                <w:szCs w:val="28"/>
                <w:u w:val="none"/>
                <w:lang w:val="en-US" w:eastAsia="zh-CN" w:bidi="ar-SA"/>
              </w:rPr>
              <w:t>此次直播创业比赛共有 3 家企业参加，直播创业比赛期间，累计销售额为10</w:t>
            </w:r>
            <w:r>
              <w:rPr>
                <w:rFonts w:hint="eastAsia" w:ascii="仿宋_GB2312" w:hAnsi="仿宋_GB2312" w:eastAsia="仿宋_GB2312" w:cs="仿宋_GB2312"/>
                <w:b w:val="0"/>
                <w:i w:val="0"/>
                <w:caps w:val="0"/>
                <w:color w:val="auto"/>
                <w:spacing w:val="0"/>
                <w:kern w:val="2"/>
                <w:sz w:val="28"/>
                <w:szCs w:val="28"/>
                <w:u w:val="none"/>
                <w:lang w:val="en-US" w:eastAsia="zh-Hans" w:bidi="ar-SA"/>
              </w:rPr>
              <w:t>余</w:t>
            </w:r>
            <w:r>
              <w:rPr>
                <w:rFonts w:hint="eastAsia" w:ascii="仿宋_GB2312" w:hAnsi="仿宋_GB2312" w:eastAsia="仿宋_GB2312" w:cs="仿宋_GB2312"/>
                <w:b w:val="0"/>
                <w:i w:val="0"/>
                <w:caps w:val="0"/>
                <w:color w:val="auto"/>
                <w:spacing w:val="0"/>
                <w:kern w:val="2"/>
                <w:sz w:val="28"/>
                <w:szCs w:val="28"/>
                <w:u w:val="none"/>
                <w:lang w:val="en-US" w:eastAsia="zh-CN" w:bidi="ar-SA"/>
              </w:rPr>
              <w:t>万元。已于2022年7月7日至2022年7月9日成功举办直播带货活动，此次活动共有5家企业参加，活动期间累计销售额达130余万元。</w:t>
            </w:r>
            <w:r>
              <w:rPr>
                <w:rFonts w:hint="eastAsia" w:hAnsi="仿宋_GB2312" w:cs="仿宋_GB2312"/>
                <w:b w:val="0"/>
                <w:i w:val="0"/>
                <w:caps w:val="0"/>
                <w:color w:val="auto"/>
                <w:spacing w:val="0"/>
                <w:kern w:val="2"/>
                <w:sz w:val="28"/>
                <w:szCs w:val="28"/>
                <w:highlight w:val="none"/>
                <w:u w:val="none"/>
                <w:lang w:val="en-US" w:eastAsia="zh-CN" w:bidi="ar-SA"/>
              </w:rPr>
              <w:t>已于2022年12月18-19日参加2022年第18届沸点会，</w:t>
            </w:r>
            <w:r>
              <w:rPr>
                <w:rFonts w:hint="eastAsia" w:ascii="仿宋_GB2312" w:hAnsi="仿宋_GB2312" w:cs="仿宋_GB2312"/>
                <w:color w:val="auto"/>
                <w:sz w:val="32"/>
                <w:szCs w:val="32"/>
                <w:highlight w:val="none"/>
                <w:shd w:val="clear" w:color="auto" w:fill="FFFFFF"/>
                <w:lang w:val="en-US" w:eastAsia="zh-CN"/>
              </w:rPr>
              <w:t>本次大会有来自全国各地的参展商和渠道商共计445家，江西省石城县特色产品馆活动期间接洽并成功对接渠道商78位，建立密切对接联系，达成初步购销意向</w:t>
            </w:r>
            <w:r>
              <w:rPr>
                <w:rFonts w:hint="eastAsia" w:hAnsi="仿宋_GB2312" w:cs="仿宋_GB2312"/>
                <w:color w:val="auto"/>
                <w:sz w:val="32"/>
                <w:szCs w:val="32"/>
                <w:highlight w:val="none"/>
                <w:shd w:val="clear" w:color="auto" w:fill="FFFFFF"/>
                <w:lang w:val="en-US" w:eastAsia="zh-CN"/>
              </w:rPr>
              <w:t>。</w:t>
            </w:r>
          </w:p>
          <w:p>
            <w:pPr>
              <w:spacing w:line="500" w:lineRule="exact"/>
              <w:jc w:val="center"/>
              <w:rPr>
                <w:rFonts w:hint="eastAsia" w:ascii="仿宋_GB2312" w:hAnsi="仿宋_GB2312" w:eastAsia="仿宋_GB2312" w:cs="仿宋_GB2312"/>
                <w:b w:val="0"/>
                <w:i w:val="0"/>
                <w:caps w:val="0"/>
                <w:color w:val="auto"/>
                <w:spacing w:val="0"/>
                <w:kern w:val="2"/>
                <w:sz w:val="28"/>
                <w:szCs w:val="28"/>
                <w:u w:val="none"/>
                <w:lang w:val="en-US" w:eastAsia="zh-CN" w:bidi="ar-SA"/>
              </w:rPr>
            </w:pPr>
            <w:r>
              <w:rPr>
                <w:rFonts w:hint="eastAsia" w:ascii="仿宋_GB2312" w:hAnsi="仿宋_GB2312" w:eastAsia="仿宋_GB2312" w:cs="仿宋_GB2312"/>
                <w:b w:val="0"/>
                <w:i w:val="0"/>
                <w:caps w:val="0"/>
                <w:color w:val="auto"/>
                <w:spacing w:val="0"/>
                <w:kern w:val="2"/>
                <w:sz w:val="28"/>
                <w:szCs w:val="28"/>
                <w:u w:val="none"/>
                <w:lang w:val="en-US" w:eastAsia="zh-CN" w:bidi="ar-SA"/>
              </w:rPr>
              <w:t>助推脱贫攻坚版块。已完成电商扶贫工作方案的制订；建成线</w:t>
            </w:r>
            <w:r>
              <w:rPr>
                <w:rFonts w:hint="eastAsia" w:ascii="仿宋_GB2312" w:hAnsi="仿宋_GB2312" w:eastAsia="仿宋_GB2312" w:cs="仿宋_GB2312"/>
                <w:b w:val="0"/>
                <w:i w:val="0"/>
                <w:caps w:val="0"/>
                <w:color w:val="auto"/>
                <w:spacing w:val="0"/>
                <w:kern w:val="2"/>
                <w:sz w:val="28"/>
                <w:szCs w:val="28"/>
                <w:u w:val="none"/>
                <w:lang w:val="en-US" w:eastAsia="zh-Hans" w:bidi="ar-SA"/>
              </w:rPr>
              <w:t>上线下</w:t>
            </w:r>
            <w:r>
              <w:rPr>
                <w:rFonts w:hint="eastAsia" w:ascii="仿宋_GB2312" w:hAnsi="仿宋_GB2312" w:eastAsia="仿宋_GB2312" w:cs="仿宋_GB2312"/>
                <w:b w:val="0"/>
                <w:i w:val="0"/>
                <w:caps w:val="0"/>
                <w:color w:val="auto"/>
                <w:spacing w:val="0"/>
                <w:kern w:val="2"/>
                <w:sz w:val="28"/>
                <w:szCs w:val="28"/>
                <w:u w:val="none"/>
                <w:lang w:val="en-US" w:eastAsia="zh-CN" w:bidi="ar-SA"/>
              </w:rPr>
              <w:t>扶贫体验馆，对接了本地十余家企业的20余款扶贫产品，自</w:t>
            </w:r>
            <w:r>
              <w:rPr>
                <w:rFonts w:hint="eastAsia" w:ascii="仿宋_GB2312" w:hAnsi="仿宋_GB2312" w:eastAsia="仿宋_GB2312" w:cs="仿宋_GB2312"/>
                <w:b w:val="0"/>
                <w:i w:val="0"/>
                <w:caps w:val="0"/>
                <w:color w:val="auto"/>
                <w:spacing w:val="0"/>
                <w:kern w:val="2"/>
                <w:sz w:val="28"/>
                <w:szCs w:val="28"/>
                <w:u w:val="none"/>
                <w:lang w:val="en-US" w:eastAsia="zh-Hans" w:bidi="ar-SA"/>
              </w:rPr>
              <w:t>投入使用</w:t>
            </w:r>
            <w:r>
              <w:rPr>
                <w:rFonts w:hint="eastAsia" w:ascii="仿宋_GB2312" w:hAnsi="仿宋_GB2312" w:eastAsia="仿宋_GB2312" w:cs="仿宋_GB2312"/>
                <w:b w:val="0"/>
                <w:i w:val="0"/>
                <w:caps w:val="0"/>
                <w:color w:val="auto"/>
                <w:spacing w:val="0"/>
                <w:kern w:val="2"/>
                <w:sz w:val="28"/>
                <w:szCs w:val="28"/>
                <w:u w:val="none"/>
                <w:lang w:val="en-US" w:eastAsia="zh-CN" w:bidi="ar-SA"/>
              </w:rPr>
              <w:t>以来累计</w:t>
            </w:r>
            <w:r>
              <w:rPr>
                <w:rFonts w:hint="eastAsia" w:ascii="仿宋_GB2312" w:hAnsi="仿宋_GB2312" w:eastAsia="仿宋_GB2312" w:cs="仿宋_GB2312"/>
                <w:b w:val="0"/>
                <w:i w:val="0"/>
                <w:caps w:val="0"/>
                <w:color w:val="auto"/>
                <w:spacing w:val="0"/>
                <w:kern w:val="2"/>
                <w:sz w:val="28"/>
                <w:szCs w:val="28"/>
                <w:u w:val="none"/>
                <w:lang w:val="en-US" w:eastAsia="zh-Hans" w:bidi="ar-SA"/>
              </w:rPr>
              <w:t>销售额达</w:t>
            </w:r>
            <w:r>
              <w:rPr>
                <w:rFonts w:hint="eastAsia" w:hAnsi="仿宋_GB2312" w:cs="仿宋_GB2312"/>
                <w:b w:val="0"/>
                <w:i w:val="0"/>
                <w:caps w:val="0"/>
                <w:color w:val="auto"/>
                <w:spacing w:val="0"/>
                <w:kern w:val="2"/>
                <w:sz w:val="28"/>
                <w:szCs w:val="28"/>
                <w:highlight w:val="none"/>
                <w:u w:val="none"/>
                <w:lang w:val="en-US" w:eastAsia="zh-CN" w:bidi="ar-SA"/>
              </w:rPr>
              <w:t>1500</w:t>
            </w:r>
            <w:r>
              <w:rPr>
                <w:rFonts w:hint="eastAsia" w:ascii="仿宋_GB2312" w:hAnsi="仿宋_GB2312" w:eastAsia="仿宋_GB2312" w:cs="仿宋_GB2312"/>
                <w:b w:val="0"/>
                <w:i w:val="0"/>
                <w:caps w:val="0"/>
                <w:color w:val="auto"/>
                <w:spacing w:val="0"/>
                <w:kern w:val="2"/>
                <w:sz w:val="28"/>
                <w:szCs w:val="28"/>
                <w:u w:val="none"/>
                <w:lang w:val="en-US" w:eastAsia="zh-Hans" w:bidi="ar-SA"/>
              </w:rPr>
              <w:t>万</w:t>
            </w:r>
            <w:r>
              <w:rPr>
                <w:rFonts w:hint="eastAsia" w:ascii="仿宋_GB2312" w:hAnsi="仿宋_GB2312" w:eastAsia="仿宋_GB2312" w:cs="仿宋_GB2312"/>
                <w:b w:val="0"/>
                <w:i w:val="0"/>
                <w:caps w:val="0"/>
                <w:color w:val="auto"/>
                <w:spacing w:val="0"/>
                <w:kern w:val="2"/>
                <w:sz w:val="28"/>
                <w:szCs w:val="28"/>
                <w:u w:val="none"/>
                <w:lang w:val="en-US" w:eastAsia="zh-CN" w:bidi="ar-SA"/>
              </w:rPr>
              <w:t>元。</w:t>
            </w:r>
          </w:p>
          <w:p>
            <w:pPr>
              <w:spacing w:line="500" w:lineRule="exact"/>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品目二：1、农村产品调研网络销售促进调研与规划已完成，并且经过专家评审组审议和电子商务产业领导办公室会议通过。2、完成开发ERP和WMS供应链管理系统，并交付企业免费使用3、支持农村传统流通企业转型升级，为五家企业完成定位与组合服务和五家企业传统升级、完成产销对接4、打造石城白莲区域品牌的产品行业标准方案和授权标准已完成。5、完成辣椒标准化方案，并通过专家评审会议。</w:t>
            </w:r>
          </w:p>
          <w:p>
            <w:pPr>
              <w:spacing w:line="500" w:lineRule="exact"/>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品目三：1、建设“石城脐橙”区域性知名网销品牌初加工基地，已经完成。投入购买一条完整的前沿脐橙生产线，并将优质企业的生产能力进行整合，完善形成了一个石城脐橙的出加工基地，并制定了基地使用规范。2、打造知名网销品牌“石城脐橙”方案，并且投入实际应用。3、完成石城脐橙标准化方案，并且通过专家评审，应用到企业。</w:t>
            </w:r>
          </w:p>
        </w:tc>
        <w:tc>
          <w:tcPr>
            <w:tcW w:w="1452" w:type="dxa"/>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厦门云德威科技有限公司（品目一）</w:t>
            </w:r>
          </w:p>
        </w:tc>
        <w:tc>
          <w:tcPr>
            <w:tcW w:w="851" w:type="dxa"/>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王媛</w:t>
            </w:r>
          </w:p>
        </w:tc>
        <w:tc>
          <w:tcPr>
            <w:tcW w:w="960" w:type="dxa"/>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145</w:t>
            </w:r>
          </w:p>
        </w:tc>
        <w:tc>
          <w:tcPr>
            <w:tcW w:w="939" w:type="dxa"/>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58</w:t>
            </w:r>
          </w:p>
        </w:tc>
        <w:tc>
          <w:tcPr>
            <w:tcW w:w="1400" w:type="dxa"/>
            <w:vMerge w:val="restart"/>
            <w:vAlign w:val="center"/>
          </w:tcPr>
          <w:p>
            <w:pPr>
              <w:jc w:val="center"/>
              <w:rPr>
                <w:rFonts w:hint="eastAsia" w:ascii="仿宋_GB2312" w:hAnsi="仿宋_GB2312" w:eastAsia="仿宋_GB2312" w:cs="仿宋_GB2312"/>
                <w:color w:val="auto"/>
                <w:sz w:val="28"/>
                <w:szCs w:val="28"/>
              </w:rPr>
            </w:pPr>
          </w:p>
        </w:tc>
        <w:tc>
          <w:tcPr>
            <w:tcW w:w="792" w:type="dxa"/>
            <w:vAlign w:val="center"/>
          </w:tcPr>
          <w:p>
            <w:pPr>
              <w:jc w:val="center"/>
              <w:rPr>
                <w:rFonts w:hint="eastAsia" w:ascii="仿宋_GB2312" w:hAnsi="仿宋_GB2312" w:eastAsia="仿宋_GB2312" w:cs="仿宋_GB2312"/>
                <w:color w:val="auto"/>
                <w:sz w:val="28"/>
                <w:szCs w:val="28"/>
              </w:rPr>
            </w:pPr>
          </w:p>
        </w:tc>
      </w:tr>
      <w:tr>
        <w:tblPrEx>
          <w:tblLayout w:type="fixed"/>
          <w:tblCellMar>
            <w:top w:w="0" w:type="dxa"/>
            <w:left w:w="108" w:type="dxa"/>
            <w:bottom w:w="0" w:type="dxa"/>
            <w:right w:w="108" w:type="dxa"/>
          </w:tblCellMar>
        </w:tblPrEx>
        <w:trPr>
          <w:trHeight w:val="3394" w:hRule="atLeast"/>
          <w:jc w:val="center"/>
        </w:trPr>
        <w:tc>
          <w:tcPr>
            <w:tcW w:w="886" w:type="dxa"/>
            <w:vMerge w:val="continue"/>
            <w:vAlign w:val="center"/>
          </w:tcPr>
          <w:p>
            <w:pPr>
              <w:jc w:val="center"/>
              <w:rPr>
                <w:rFonts w:hint="eastAsia" w:ascii="仿宋_GB2312" w:hAnsi="仿宋_GB2312" w:eastAsia="仿宋_GB2312" w:cs="仿宋_GB2312"/>
                <w:color w:val="auto"/>
                <w:sz w:val="28"/>
                <w:szCs w:val="28"/>
              </w:rPr>
            </w:pPr>
          </w:p>
        </w:tc>
        <w:tc>
          <w:tcPr>
            <w:tcW w:w="1050" w:type="dxa"/>
            <w:vMerge w:val="continue"/>
            <w:vAlign w:val="center"/>
          </w:tcPr>
          <w:p>
            <w:pPr>
              <w:spacing w:line="590" w:lineRule="exact"/>
              <w:jc w:val="center"/>
              <w:rPr>
                <w:rFonts w:hint="eastAsia" w:ascii="仿宋_GB2312" w:hAnsi="仿宋_GB2312" w:eastAsia="仿宋_GB2312" w:cs="仿宋_GB2312"/>
                <w:color w:val="auto"/>
                <w:sz w:val="28"/>
                <w:szCs w:val="28"/>
              </w:rPr>
            </w:pPr>
          </w:p>
        </w:tc>
        <w:tc>
          <w:tcPr>
            <w:tcW w:w="1150" w:type="dxa"/>
            <w:vMerge w:val="continue"/>
            <w:vAlign w:val="center"/>
          </w:tcPr>
          <w:p>
            <w:pPr>
              <w:jc w:val="center"/>
              <w:rPr>
                <w:rFonts w:hint="eastAsia" w:ascii="仿宋_GB2312" w:hAnsi="仿宋_GB2312" w:eastAsia="仿宋_GB2312" w:cs="仿宋_GB2312"/>
                <w:color w:val="auto"/>
                <w:kern w:val="0"/>
                <w:sz w:val="28"/>
                <w:szCs w:val="28"/>
              </w:rPr>
            </w:pPr>
          </w:p>
        </w:tc>
        <w:tc>
          <w:tcPr>
            <w:tcW w:w="4781" w:type="dxa"/>
            <w:vMerge w:val="continue"/>
            <w:vAlign w:val="center"/>
          </w:tcPr>
          <w:p>
            <w:pPr>
              <w:jc w:val="center"/>
              <w:rPr>
                <w:rFonts w:hint="eastAsia" w:ascii="仿宋_GB2312" w:hAnsi="仿宋_GB2312" w:eastAsia="仿宋_GB2312" w:cs="仿宋_GB2312"/>
                <w:color w:val="auto"/>
                <w:sz w:val="28"/>
                <w:szCs w:val="28"/>
              </w:rPr>
            </w:pPr>
          </w:p>
        </w:tc>
        <w:tc>
          <w:tcPr>
            <w:tcW w:w="1020" w:type="dxa"/>
            <w:vMerge w:val="continue"/>
            <w:vAlign w:val="center"/>
          </w:tcPr>
          <w:p>
            <w:pPr>
              <w:jc w:val="center"/>
              <w:rPr>
                <w:rFonts w:hint="eastAsia" w:ascii="仿宋_GB2312" w:hAnsi="仿宋_GB2312" w:eastAsia="仿宋_GB2312" w:cs="仿宋_GB2312"/>
                <w:color w:val="auto"/>
                <w:sz w:val="28"/>
                <w:szCs w:val="28"/>
              </w:rPr>
            </w:pPr>
          </w:p>
        </w:tc>
        <w:tc>
          <w:tcPr>
            <w:tcW w:w="1515" w:type="dxa"/>
            <w:vMerge w:val="continue"/>
            <w:vAlign w:val="center"/>
          </w:tcPr>
          <w:p>
            <w:pPr>
              <w:jc w:val="center"/>
              <w:rPr>
                <w:rFonts w:hint="eastAsia" w:ascii="仿宋_GB2312" w:hAnsi="仿宋_GB2312" w:eastAsia="仿宋_GB2312" w:cs="仿宋_GB2312"/>
                <w:color w:val="auto"/>
                <w:sz w:val="28"/>
                <w:szCs w:val="28"/>
              </w:rPr>
            </w:pPr>
          </w:p>
        </w:tc>
        <w:tc>
          <w:tcPr>
            <w:tcW w:w="2590" w:type="dxa"/>
            <w:vMerge w:val="continue"/>
            <w:vAlign w:val="center"/>
          </w:tcPr>
          <w:p>
            <w:pPr>
              <w:jc w:val="center"/>
              <w:rPr>
                <w:rFonts w:hint="eastAsia" w:ascii="仿宋_GB2312" w:hAnsi="仿宋_GB2312" w:eastAsia="仿宋_GB2312" w:cs="仿宋_GB2312"/>
                <w:color w:val="auto"/>
                <w:sz w:val="28"/>
                <w:szCs w:val="28"/>
              </w:rPr>
            </w:pPr>
          </w:p>
        </w:tc>
        <w:tc>
          <w:tcPr>
            <w:tcW w:w="1452" w:type="dxa"/>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江西农物集科技有限公司（品目二）</w:t>
            </w:r>
          </w:p>
        </w:tc>
        <w:tc>
          <w:tcPr>
            <w:tcW w:w="851" w:type="dxa"/>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余莉波</w:t>
            </w:r>
          </w:p>
        </w:tc>
        <w:tc>
          <w:tcPr>
            <w:tcW w:w="960" w:type="dxa"/>
            <w:vAlign w:val="center"/>
          </w:tcPr>
          <w:p>
            <w:pPr>
              <w:widowControl/>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kern w:val="0"/>
                <w:sz w:val="28"/>
                <w:szCs w:val="28"/>
                <w:lang w:val="en-US" w:eastAsia="zh-CN" w:bidi="ar"/>
              </w:rPr>
              <w:t>124.78</w:t>
            </w:r>
          </w:p>
        </w:tc>
        <w:tc>
          <w:tcPr>
            <w:tcW w:w="939" w:type="dxa"/>
            <w:vAlign w:val="center"/>
          </w:tcPr>
          <w:p>
            <w:pPr>
              <w:widowControl/>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kern w:val="0"/>
                <w:sz w:val="28"/>
                <w:szCs w:val="28"/>
                <w:lang w:val="en-US" w:eastAsia="zh-CN" w:bidi="ar"/>
              </w:rPr>
              <w:t>49.91</w:t>
            </w:r>
          </w:p>
        </w:tc>
        <w:tc>
          <w:tcPr>
            <w:tcW w:w="1400" w:type="dxa"/>
            <w:vMerge w:val="continue"/>
            <w:vAlign w:val="center"/>
          </w:tcPr>
          <w:p>
            <w:pPr>
              <w:jc w:val="center"/>
              <w:rPr>
                <w:rFonts w:hint="eastAsia" w:ascii="仿宋_GB2312" w:hAnsi="仿宋_GB2312" w:eastAsia="仿宋_GB2312" w:cs="仿宋_GB2312"/>
                <w:color w:val="auto"/>
                <w:sz w:val="28"/>
                <w:szCs w:val="28"/>
              </w:rPr>
            </w:pPr>
          </w:p>
        </w:tc>
        <w:tc>
          <w:tcPr>
            <w:tcW w:w="792" w:type="dxa"/>
            <w:vAlign w:val="center"/>
          </w:tcPr>
          <w:p>
            <w:pPr>
              <w:jc w:val="center"/>
              <w:rPr>
                <w:rFonts w:hint="eastAsia" w:ascii="仿宋_GB2312" w:hAnsi="仿宋_GB2312" w:eastAsia="仿宋_GB2312" w:cs="仿宋_GB2312"/>
                <w:color w:val="auto"/>
                <w:sz w:val="28"/>
                <w:szCs w:val="28"/>
              </w:rPr>
            </w:pPr>
          </w:p>
        </w:tc>
      </w:tr>
      <w:tr>
        <w:tblPrEx>
          <w:tblLayout w:type="fixed"/>
          <w:tblCellMar>
            <w:top w:w="0" w:type="dxa"/>
            <w:left w:w="108" w:type="dxa"/>
            <w:bottom w:w="0" w:type="dxa"/>
            <w:right w:w="108" w:type="dxa"/>
          </w:tblCellMar>
        </w:tblPrEx>
        <w:trPr>
          <w:trHeight w:val="589" w:hRule="atLeast"/>
          <w:jc w:val="center"/>
        </w:trPr>
        <w:tc>
          <w:tcPr>
            <w:tcW w:w="886" w:type="dxa"/>
            <w:vMerge w:val="continue"/>
            <w:vAlign w:val="center"/>
          </w:tcPr>
          <w:p>
            <w:pPr>
              <w:jc w:val="center"/>
              <w:rPr>
                <w:rFonts w:hint="eastAsia" w:ascii="仿宋_GB2312" w:hAnsi="仿宋_GB2312" w:eastAsia="仿宋_GB2312" w:cs="仿宋_GB2312"/>
                <w:color w:val="auto"/>
                <w:sz w:val="28"/>
                <w:szCs w:val="28"/>
              </w:rPr>
            </w:pPr>
          </w:p>
        </w:tc>
        <w:tc>
          <w:tcPr>
            <w:tcW w:w="1050" w:type="dxa"/>
            <w:vMerge w:val="continue"/>
            <w:vAlign w:val="center"/>
          </w:tcPr>
          <w:p>
            <w:pPr>
              <w:spacing w:line="590" w:lineRule="exact"/>
              <w:jc w:val="center"/>
              <w:rPr>
                <w:rFonts w:hint="eastAsia" w:ascii="仿宋_GB2312" w:hAnsi="仿宋_GB2312" w:eastAsia="仿宋_GB2312" w:cs="仿宋_GB2312"/>
                <w:color w:val="auto"/>
                <w:sz w:val="28"/>
                <w:szCs w:val="28"/>
              </w:rPr>
            </w:pPr>
          </w:p>
        </w:tc>
        <w:tc>
          <w:tcPr>
            <w:tcW w:w="1150" w:type="dxa"/>
            <w:vMerge w:val="continue"/>
            <w:vAlign w:val="center"/>
          </w:tcPr>
          <w:p>
            <w:pPr>
              <w:jc w:val="center"/>
              <w:rPr>
                <w:rFonts w:hint="eastAsia" w:ascii="仿宋_GB2312" w:hAnsi="仿宋_GB2312" w:eastAsia="仿宋_GB2312" w:cs="仿宋_GB2312"/>
                <w:color w:val="auto"/>
                <w:kern w:val="0"/>
                <w:sz w:val="28"/>
                <w:szCs w:val="28"/>
              </w:rPr>
            </w:pPr>
          </w:p>
        </w:tc>
        <w:tc>
          <w:tcPr>
            <w:tcW w:w="4781" w:type="dxa"/>
            <w:vMerge w:val="continue"/>
            <w:vAlign w:val="center"/>
          </w:tcPr>
          <w:p>
            <w:pPr>
              <w:jc w:val="center"/>
              <w:rPr>
                <w:rFonts w:hint="eastAsia" w:ascii="仿宋_GB2312" w:hAnsi="仿宋_GB2312" w:eastAsia="仿宋_GB2312" w:cs="仿宋_GB2312"/>
                <w:color w:val="auto"/>
                <w:sz w:val="28"/>
                <w:szCs w:val="28"/>
              </w:rPr>
            </w:pPr>
          </w:p>
        </w:tc>
        <w:tc>
          <w:tcPr>
            <w:tcW w:w="1020" w:type="dxa"/>
            <w:vMerge w:val="continue"/>
            <w:vAlign w:val="center"/>
          </w:tcPr>
          <w:p>
            <w:pPr>
              <w:jc w:val="center"/>
              <w:rPr>
                <w:rFonts w:hint="eastAsia" w:ascii="仿宋_GB2312" w:hAnsi="仿宋_GB2312" w:eastAsia="仿宋_GB2312" w:cs="仿宋_GB2312"/>
                <w:color w:val="auto"/>
                <w:sz w:val="28"/>
                <w:szCs w:val="28"/>
              </w:rPr>
            </w:pPr>
          </w:p>
        </w:tc>
        <w:tc>
          <w:tcPr>
            <w:tcW w:w="1515" w:type="dxa"/>
            <w:vMerge w:val="continue"/>
            <w:vAlign w:val="center"/>
          </w:tcPr>
          <w:p>
            <w:pPr>
              <w:jc w:val="center"/>
              <w:rPr>
                <w:rFonts w:hint="eastAsia" w:ascii="仿宋_GB2312" w:hAnsi="仿宋_GB2312" w:eastAsia="仿宋_GB2312" w:cs="仿宋_GB2312"/>
                <w:color w:val="auto"/>
                <w:sz w:val="28"/>
                <w:szCs w:val="28"/>
              </w:rPr>
            </w:pPr>
          </w:p>
        </w:tc>
        <w:tc>
          <w:tcPr>
            <w:tcW w:w="2590" w:type="dxa"/>
            <w:vMerge w:val="continue"/>
            <w:vAlign w:val="center"/>
          </w:tcPr>
          <w:p>
            <w:pPr>
              <w:jc w:val="center"/>
              <w:rPr>
                <w:rFonts w:hint="eastAsia" w:ascii="仿宋_GB2312" w:hAnsi="仿宋_GB2312" w:eastAsia="仿宋_GB2312" w:cs="仿宋_GB2312"/>
                <w:color w:val="auto"/>
                <w:sz w:val="28"/>
                <w:szCs w:val="28"/>
              </w:rPr>
            </w:pPr>
          </w:p>
        </w:tc>
        <w:tc>
          <w:tcPr>
            <w:tcW w:w="1452" w:type="dxa"/>
            <w:vAlign w:val="center"/>
          </w:tcPr>
          <w:p>
            <w:pPr>
              <w:widowControl/>
              <w:jc w:val="center"/>
              <w:textAlignment w:val="center"/>
              <w:rPr>
                <w:rFonts w:hint="eastAsia" w:ascii="仿宋_GB2312" w:hAnsi="仿宋_GB2312" w:eastAsia="仿宋_GB2312" w:cs="仿宋_GB2312"/>
                <w:color w:val="auto"/>
                <w:kern w:val="0"/>
                <w:sz w:val="28"/>
                <w:szCs w:val="28"/>
                <w:lang w:bidi="ar"/>
              </w:rPr>
            </w:pPr>
            <w:r>
              <w:rPr>
                <w:rFonts w:hint="eastAsia" w:ascii="仿宋_GB2312" w:hAnsi="仿宋_GB2312" w:eastAsia="仿宋_GB2312" w:cs="仿宋_GB2312"/>
                <w:color w:val="auto"/>
                <w:kern w:val="0"/>
                <w:sz w:val="28"/>
                <w:szCs w:val="28"/>
                <w:lang w:bidi="ar"/>
              </w:rPr>
              <w:t>江西农物集科技有限公司（品目</w:t>
            </w:r>
            <w:r>
              <w:rPr>
                <w:rFonts w:hint="eastAsia" w:ascii="仿宋_GB2312" w:hAnsi="仿宋_GB2312" w:eastAsia="仿宋_GB2312" w:cs="仿宋_GB2312"/>
                <w:color w:val="auto"/>
                <w:kern w:val="0"/>
                <w:sz w:val="28"/>
                <w:szCs w:val="28"/>
                <w:lang w:val="en-US" w:eastAsia="zh-CN" w:bidi="ar"/>
              </w:rPr>
              <w:t>三</w:t>
            </w:r>
            <w:r>
              <w:rPr>
                <w:rFonts w:hint="eastAsia" w:ascii="仿宋_GB2312" w:hAnsi="仿宋_GB2312" w:eastAsia="仿宋_GB2312" w:cs="仿宋_GB2312"/>
                <w:color w:val="auto"/>
                <w:kern w:val="0"/>
                <w:sz w:val="28"/>
                <w:szCs w:val="28"/>
                <w:lang w:bidi="ar"/>
              </w:rPr>
              <w:t>）</w:t>
            </w:r>
          </w:p>
        </w:tc>
        <w:tc>
          <w:tcPr>
            <w:tcW w:w="851" w:type="dxa"/>
            <w:vAlign w:val="center"/>
          </w:tcPr>
          <w:p>
            <w:pPr>
              <w:widowControl/>
              <w:jc w:val="center"/>
              <w:textAlignment w:val="center"/>
              <w:rPr>
                <w:rFonts w:hint="eastAsia" w:ascii="仿宋_GB2312" w:hAnsi="仿宋_GB2312" w:eastAsia="仿宋_GB2312" w:cs="仿宋_GB2312"/>
                <w:color w:val="auto"/>
                <w:kern w:val="0"/>
                <w:sz w:val="28"/>
                <w:szCs w:val="28"/>
                <w:lang w:bidi="ar"/>
              </w:rPr>
            </w:pPr>
            <w:r>
              <w:rPr>
                <w:rFonts w:hint="eastAsia" w:ascii="仿宋_GB2312" w:hAnsi="仿宋_GB2312" w:eastAsia="仿宋_GB2312" w:cs="仿宋_GB2312"/>
                <w:color w:val="auto"/>
                <w:kern w:val="0"/>
                <w:sz w:val="28"/>
                <w:szCs w:val="28"/>
                <w:lang w:bidi="ar"/>
              </w:rPr>
              <w:t>余莉波</w:t>
            </w:r>
          </w:p>
        </w:tc>
        <w:tc>
          <w:tcPr>
            <w:tcW w:w="960" w:type="dxa"/>
            <w:vAlign w:val="center"/>
          </w:tcPr>
          <w:p>
            <w:pPr>
              <w:widowControl/>
              <w:jc w:val="center"/>
              <w:textAlignment w:val="center"/>
              <w:rPr>
                <w:rFonts w:hint="eastAsia" w:ascii="仿宋_GB2312" w:hAnsi="仿宋_GB2312" w:eastAsia="仿宋_GB2312" w:cs="仿宋_GB2312"/>
                <w:color w:val="auto"/>
                <w:kern w:val="0"/>
                <w:sz w:val="28"/>
                <w:szCs w:val="28"/>
                <w:lang w:bidi="ar"/>
              </w:rPr>
            </w:pPr>
            <w:r>
              <w:rPr>
                <w:rFonts w:hint="eastAsia" w:ascii="仿宋_GB2312" w:hAnsi="仿宋_GB2312" w:eastAsia="仿宋_GB2312" w:cs="仿宋_GB2312"/>
                <w:color w:val="auto"/>
                <w:kern w:val="0"/>
                <w:sz w:val="28"/>
                <w:szCs w:val="28"/>
                <w:lang w:val="en-US" w:eastAsia="zh-CN" w:bidi="ar"/>
              </w:rPr>
              <w:t>134.768</w:t>
            </w:r>
          </w:p>
        </w:tc>
        <w:tc>
          <w:tcPr>
            <w:tcW w:w="939" w:type="dxa"/>
            <w:vAlign w:val="center"/>
          </w:tcPr>
          <w:p>
            <w:pPr>
              <w:widowControl/>
              <w:jc w:val="center"/>
              <w:textAlignment w:val="center"/>
              <w:rPr>
                <w:rFonts w:hint="eastAsia" w:ascii="仿宋_GB2312" w:hAnsi="仿宋_GB2312" w:eastAsia="仿宋_GB2312" w:cs="仿宋_GB2312"/>
                <w:color w:val="auto"/>
                <w:kern w:val="0"/>
                <w:sz w:val="28"/>
                <w:szCs w:val="28"/>
                <w:lang w:bidi="ar"/>
              </w:rPr>
            </w:pPr>
            <w:r>
              <w:rPr>
                <w:rFonts w:hint="eastAsia" w:ascii="仿宋_GB2312" w:hAnsi="仿宋_GB2312" w:eastAsia="仿宋_GB2312" w:cs="仿宋_GB2312"/>
                <w:color w:val="auto"/>
                <w:kern w:val="0"/>
                <w:sz w:val="28"/>
                <w:szCs w:val="28"/>
                <w:lang w:val="en-US" w:eastAsia="zh-CN" w:bidi="ar"/>
              </w:rPr>
              <w:t>94.3376</w:t>
            </w:r>
          </w:p>
        </w:tc>
        <w:tc>
          <w:tcPr>
            <w:tcW w:w="1400" w:type="dxa"/>
            <w:vAlign w:val="center"/>
          </w:tcPr>
          <w:p>
            <w:pPr>
              <w:jc w:val="center"/>
              <w:rPr>
                <w:rFonts w:hint="eastAsia" w:ascii="仿宋_GB2312" w:hAnsi="仿宋_GB2312" w:eastAsia="仿宋_GB2312" w:cs="仿宋_GB2312"/>
                <w:color w:val="auto"/>
                <w:sz w:val="28"/>
                <w:szCs w:val="28"/>
              </w:rPr>
            </w:pPr>
          </w:p>
        </w:tc>
        <w:tc>
          <w:tcPr>
            <w:tcW w:w="792" w:type="dxa"/>
            <w:vAlign w:val="center"/>
          </w:tcPr>
          <w:p>
            <w:pPr>
              <w:jc w:val="center"/>
              <w:rPr>
                <w:rFonts w:hint="eastAsia" w:ascii="仿宋_GB2312" w:hAnsi="仿宋_GB2312" w:eastAsia="仿宋_GB2312" w:cs="仿宋_GB2312"/>
                <w:color w:val="auto"/>
                <w:sz w:val="28"/>
                <w:szCs w:val="28"/>
              </w:rPr>
            </w:pPr>
          </w:p>
        </w:tc>
      </w:tr>
      <w:tr>
        <w:tblPrEx>
          <w:tblLayout w:type="fixed"/>
          <w:tblCellMar>
            <w:top w:w="0" w:type="dxa"/>
            <w:left w:w="108" w:type="dxa"/>
            <w:bottom w:w="0" w:type="dxa"/>
            <w:right w:w="108" w:type="dxa"/>
          </w:tblCellMar>
        </w:tblPrEx>
        <w:trPr>
          <w:trHeight w:val="4780" w:hRule="atLeast"/>
          <w:jc w:val="center"/>
        </w:trPr>
        <w:tc>
          <w:tcPr>
            <w:tcW w:w="886" w:type="dxa"/>
            <w:vMerge w:val="restart"/>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w:t>
            </w:r>
          </w:p>
        </w:tc>
        <w:tc>
          <w:tcPr>
            <w:tcW w:w="1050" w:type="dxa"/>
            <w:vMerge w:val="restart"/>
            <w:vAlign w:val="center"/>
          </w:tcPr>
          <w:p>
            <w:pPr>
              <w:spacing w:line="590" w:lineRule="exact"/>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石府办字〔2020〕20号</w:t>
            </w:r>
            <w:r>
              <w:rPr>
                <w:rFonts w:hint="eastAsia" w:ascii="仿宋_GB2312" w:hAnsi="仿宋_GB2312" w:eastAsia="仿宋_GB2312" w:cs="仿宋_GB2312"/>
                <w:color w:val="auto"/>
                <w:sz w:val="28"/>
                <w:szCs w:val="28"/>
                <w:lang w:eastAsia="zh-CN"/>
              </w:rPr>
              <w:t>以及</w:t>
            </w:r>
            <w:r>
              <w:rPr>
                <w:rFonts w:hint="eastAsia" w:ascii="仿宋_GB2312" w:hAnsi="仿宋_GB2312" w:eastAsia="仿宋_GB2312" w:cs="仿宋_GB2312"/>
                <w:color w:val="auto"/>
                <w:sz w:val="28"/>
                <w:szCs w:val="28"/>
              </w:rPr>
              <w:t>石府办字〔202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34</w:t>
            </w:r>
            <w:r>
              <w:rPr>
                <w:rFonts w:hint="eastAsia" w:ascii="仿宋_GB2312" w:hAnsi="仿宋_GB2312" w:eastAsia="仿宋_GB2312" w:cs="仿宋_GB2312"/>
                <w:color w:val="auto"/>
                <w:sz w:val="28"/>
                <w:szCs w:val="28"/>
              </w:rPr>
              <w:t>号</w:t>
            </w:r>
          </w:p>
        </w:tc>
        <w:tc>
          <w:tcPr>
            <w:tcW w:w="1150" w:type="dxa"/>
            <w:vMerge w:val="restart"/>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石城县农村电子商务宣传</w:t>
            </w:r>
          </w:p>
        </w:tc>
        <w:tc>
          <w:tcPr>
            <w:tcW w:w="4781" w:type="dxa"/>
            <w:vMerge w:val="restart"/>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一是通过宣传手册、短片、条幅、自媒体、公众微信号、专题招商推介会等渠道，将政策线上线下宣传进村入户。二是力争开设石城县电子商务进农村综合示范工作主流自媒体渠道官方账号1个，并运营一年以上。通过该账号推广宣传我县示范县创建政策、过程、典型经验等。三是积极创建电子商务示范乡镇、示范村。加大挖掘和宣传本地综合示范典型经验和电商扶贫成功案例的力度，积极争取中央主流媒体报道，充分展示综合示范工作成效，扩大综合示范的影响力和社会认知。重点支持有完善电商产业供应链乡镇或村。四是每年举办4-6场宣传活动，做好宣传推广工作。五是支持电子商务协会、相关行业协会、商会等组织电商沙龙等活动，融洽电商发展氛围。</w:t>
            </w:r>
          </w:p>
        </w:tc>
        <w:tc>
          <w:tcPr>
            <w:tcW w:w="1020" w:type="dxa"/>
            <w:vMerge w:val="restart"/>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155</w:t>
            </w:r>
          </w:p>
        </w:tc>
        <w:tc>
          <w:tcPr>
            <w:tcW w:w="1515" w:type="dxa"/>
            <w:vMerge w:val="restart"/>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通过宣传推广，达到政策宣传进村入户，形成县、乡、村三级联动创建综合示范县工作机制，群众网购意识明显增强，参与电商人数明显增多。在国家或省级层面报道我县综合示范典型和电商扶贫成功案例1次以上，营造发展农村电子商务的良好氛围。</w:t>
            </w:r>
          </w:p>
        </w:tc>
        <w:tc>
          <w:tcPr>
            <w:tcW w:w="2590" w:type="dxa"/>
            <w:vAlign w:val="center"/>
          </w:tcPr>
          <w:p>
            <w:pPr>
              <w:keepNext w:val="0"/>
              <w:keepLines w:val="0"/>
              <w:pageBreakBefore w:val="0"/>
              <w:widowControl w:val="0"/>
              <w:kinsoku/>
              <w:wordWrap/>
              <w:overflowPunct/>
              <w:topLinePunct w:val="0"/>
              <w:autoSpaceDE/>
              <w:autoSpaceDN/>
              <w:bidi w:val="0"/>
              <w:adjustRightInd/>
              <w:snapToGrid/>
              <w:ind w:firstLine="544"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目前石城县农村电商宣传工作的推进进度如下：</w:t>
            </w:r>
          </w:p>
          <w:p>
            <w:pPr>
              <w:pStyle w:val="8"/>
              <w:widowControl/>
              <w:spacing w:beforeAutospacing="0" w:after="0" w:afterAutospacing="0" w:line="216" w:lineRule="atLeast"/>
              <w:ind w:left="0" w:right="0" w:firstLine="405"/>
              <w:jc w:val="left"/>
              <w:rPr>
                <w:rFonts w:hint="eastAsia" w:ascii="仿宋_GB2312" w:hAnsi="仿宋_GB2312" w:eastAsia="仿宋_GB2312" w:cs="仿宋_GB2312"/>
                <w:b w:val="0"/>
                <w:i w:val="0"/>
                <w:caps w:val="0"/>
                <w:color w:val="auto"/>
                <w:spacing w:val="0"/>
                <w:sz w:val="28"/>
                <w:szCs w:val="28"/>
                <w:u w:val="none"/>
              </w:rPr>
            </w:pPr>
            <w:r>
              <w:rPr>
                <w:rFonts w:hint="eastAsia" w:ascii="仿宋_GB2312" w:hAnsi="仿宋_GB2312" w:eastAsia="仿宋_GB2312" w:cs="仿宋_GB2312"/>
                <w:b w:val="0"/>
                <w:i w:val="0"/>
                <w:caps w:val="0"/>
                <w:color w:val="auto"/>
                <w:spacing w:val="0"/>
                <w:sz w:val="28"/>
                <w:szCs w:val="28"/>
                <w:u w:val="none"/>
              </w:rPr>
              <w:t>以上工作账号先期策划工作已经完成抖音已发视频</w:t>
            </w:r>
            <w:r>
              <w:rPr>
                <w:rFonts w:hint="eastAsia" w:hAnsi="仿宋_GB2312" w:cs="仿宋_GB2312"/>
                <w:b w:val="0"/>
                <w:i w:val="0"/>
                <w:caps w:val="0"/>
                <w:color w:val="auto"/>
                <w:spacing w:val="0"/>
                <w:sz w:val="28"/>
                <w:szCs w:val="28"/>
                <w:u w:val="none"/>
                <w:lang w:val="en-US" w:eastAsia="zh-CN"/>
              </w:rPr>
              <w:t>140</w:t>
            </w:r>
            <w:r>
              <w:rPr>
                <w:rFonts w:hint="eastAsia" w:ascii="仿宋_GB2312" w:hAnsi="仿宋_GB2312" w:eastAsia="仿宋_GB2312" w:cs="仿宋_GB2312"/>
                <w:b w:val="0"/>
                <w:i w:val="0"/>
                <w:caps w:val="0"/>
                <w:color w:val="auto"/>
                <w:spacing w:val="0"/>
                <w:sz w:val="28"/>
                <w:szCs w:val="28"/>
                <w:u w:val="none"/>
              </w:rPr>
              <w:t>个</w:t>
            </w:r>
            <w:r>
              <w:rPr>
                <w:rFonts w:hint="eastAsia" w:ascii="仿宋_GB2312" w:hAnsi="仿宋_GB2312" w:eastAsia="仿宋_GB2312" w:cs="仿宋_GB2312"/>
                <w:b w:val="0"/>
                <w:i w:val="0"/>
                <w:caps w:val="0"/>
                <w:color w:val="auto"/>
                <w:spacing w:val="0"/>
                <w:sz w:val="28"/>
                <w:szCs w:val="28"/>
                <w:u w:val="none"/>
                <w:lang w:eastAsia="zh-CN"/>
              </w:rPr>
              <w:t>。</w:t>
            </w:r>
          </w:p>
          <w:p>
            <w:pPr>
              <w:pStyle w:val="8"/>
              <w:widowControl/>
              <w:spacing w:beforeAutospacing="0" w:after="0" w:afterAutospacing="0" w:line="216" w:lineRule="atLeast"/>
              <w:ind w:left="0" w:right="0" w:firstLine="405"/>
              <w:jc w:val="left"/>
              <w:rPr>
                <w:rFonts w:hint="eastAsia" w:ascii="仿宋_GB2312" w:hAnsi="仿宋_GB2312" w:eastAsia="仿宋_GB2312" w:cs="仿宋_GB2312"/>
                <w:b w:val="0"/>
                <w:i w:val="0"/>
                <w:caps w:val="0"/>
                <w:color w:val="auto"/>
                <w:spacing w:val="0"/>
                <w:sz w:val="28"/>
                <w:szCs w:val="28"/>
                <w:u w:val="none"/>
              </w:rPr>
            </w:pPr>
            <w:r>
              <w:rPr>
                <w:rFonts w:hint="eastAsia" w:ascii="仿宋_GB2312" w:hAnsi="仿宋_GB2312" w:eastAsia="仿宋_GB2312" w:cs="仿宋_GB2312"/>
                <w:b w:val="0"/>
                <w:i w:val="0"/>
                <w:caps w:val="0"/>
                <w:color w:val="auto"/>
                <w:spacing w:val="0"/>
                <w:sz w:val="28"/>
                <w:szCs w:val="28"/>
                <w:u w:val="none"/>
              </w:rPr>
              <w:t>辅助石城商务公众号文章编写</w:t>
            </w:r>
            <w:r>
              <w:rPr>
                <w:rFonts w:hint="eastAsia" w:hAnsi="仿宋_GB2312" w:cs="仿宋_GB2312"/>
                <w:b w:val="0"/>
                <w:i w:val="0"/>
                <w:caps w:val="0"/>
                <w:color w:val="auto"/>
                <w:spacing w:val="0"/>
                <w:sz w:val="28"/>
                <w:szCs w:val="28"/>
                <w:u w:val="none"/>
                <w:lang w:val="en-US" w:eastAsia="zh-CN"/>
              </w:rPr>
              <w:t>96</w:t>
            </w:r>
            <w:r>
              <w:rPr>
                <w:rFonts w:hint="eastAsia" w:ascii="仿宋_GB2312" w:hAnsi="仿宋_GB2312" w:eastAsia="仿宋_GB2312" w:cs="仿宋_GB2312"/>
                <w:b w:val="0"/>
                <w:i w:val="0"/>
                <w:caps w:val="0"/>
                <w:color w:val="auto"/>
                <w:spacing w:val="0"/>
                <w:sz w:val="28"/>
                <w:szCs w:val="28"/>
                <w:u w:val="none"/>
              </w:rPr>
              <w:t>篇。</w:t>
            </w:r>
          </w:p>
          <w:p>
            <w:pPr>
              <w:pStyle w:val="8"/>
              <w:widowControl/>
              <w:spacing w:beforeAutospacing="0" w:after="0" w:afterAutospacing="0" w:line="216" w:lineRule="atLeast"/>
              <w:ind w:left="0" w:right="0" w:firstLine="405"/>
              <w:jc w:val="left"/>
              <w:rPr>
                <w:rFonts w:hint="eastAsia" w:ascii="仿宋_GB2312" w:hAnsi="仿宋_GB2312" w:eastAsia="仿宋_GB2312" w:cs="仿宋_GB2312"/>
                <w:b w:val="0"/>
                <w:i w:val="0"/>
                <w:caps w:val="0"/>
                <w:color w:val="auto"/>
                <w:spacing w:val="0"/>
                <w:sz w:val="28"/>
                <w:szCs w:val="28"/>
                <w:u w:val="none"/>
              </w:rPr>
            </w:pPr>
            <w:r>
              <w:rPr>
                <w:rFonts w:hint="eastAsia" w:ascii="仿宋_GB2312" w:hAnsi="仿宋_GB2312" w:eastAsia="仿宋_GB2312" w:cs="仿宋_GB2312"/>
                <w:b w:val="0"/>
                <w:i w:val="0"/>
                <w:caps w:val="0"/>
                <w:color w:val="auto"/>
                <w:spacing w:val="0"/>
                <w:sz w:val="28"/>
                <w:szCs w:val="28"/>
                <w:u w:val="none"/>
              </w:rPr>
              <w:t>创建覆盖各乡镇的创业者（企业）自媒体矩阵</w:t>
            </w:r>
          </w:p>
          <w:p>
            <w:pPr>
              <w:pStyle w:val="8"/>
              <w:widowControl/>
              <w:spacing w:beforeAutospacing="0" w:after="0" w:afterAutospacing="0" w:line="216" w:lineRule="atLeast"/>
              <w:ind w:left="0" w:right="0" w:firstLine="405"/>
              <w:jc w:val="left"/>
              <w:rPr>
                <w:rFonts w:hint="eastAsia" w:ascii="仿宋_GB2312" w:hAnsi="仿宋_GB2312" w:eastAsia="仿宋_GB2312" w:cs="仿宋_GB2312"/>
                <w:b w:val="0"/>
                <w:i w:val="0"/>
                <w:caps w:val="0"/>
                <w:color w:val="auto"/>
                <w:spacing w:val="0"/>
                <w:sz w:val="28"/>
                <w:szCs w:val="28"/>
                <w:u w:val="none"/>
              </w:rPr>
            </w:pPr>
            <w:r>
              <w:rPr>
                <w:rFonts w:hint="eastAsia" w:ascii="仿宋_GB2312" w:hAnsi="仿宋_GB2312" w:eastAsia="仿宋_GB2312" w:cs="仿宋_GB2312"/>
                <w:b w:val="0"/>
                <w:i w:val="0"/>
                <w:caps w:val="0"/>
                <w:color w:val="auto"/>
                <w:spacing w:val="0"/>
                <w:sz w:val="28"/>
                <w:szCs w:val="28"/>
                <w:u w:val="none"/>
              </w:rPr>
              <w:t>这次自媒体矩阵已经选取：小松镇张燕,木兰乡李菊清,高田镇温世煌,屏山镇陈式昌,横江镇程日风,创业学员温东检,丰山乡刘静,龙岗乡廖秋香, 赣江源镇陈祖梁,琴江镇万相九等10人。并对石城县的电商政策或实时资讯进行宣传。</w:t>
            </w:r>
          </w:p>
          <w:p>
            <w:pPr>
              <w:pStyle w:val="8"/>
              <w:widowControl/>
              <w:spacing w:beforeAutospacing="0" w:after="0" w:afterAutospacing="0" w:line="216" w:lineRule="atLeast"/>
              <w:ind w:left="0" w:right="0" w:firstLine="405"/>
              <w:jc w:val="left"/>
              <w:rPr>
                <w:rFonts w:hint="eastAsia" w:ascii="仿宋_GB2312" w:hAnsi="仿宋_GB2312" w:eastAsia="仿宋_GB2312" w:cs="仿宋_GB2312"/>
                <w:b w:val="0"/>
                <w:i w:val="0"/>
                <w:caps w:val="0"/>
                <w:color w:val="auto"/>
                <w:spacing w:val="0"/>
                <w:sz w:val="28"/>
                <w:szCs w:val="28"/>
                <w:u w:val="none"/>
              </w:rPr>
            </w:pPr>
            <w:r>
              <w:rPr>
                <w:rFonts w:hint="eastAsia" w:ascii="仿宋_GB2312" w:hAnsi="仿宋_GB2312" w:eastAsia="仿宋_GB2312" w:cs="仿宋_GB2312"/>
                <w:b w:val="0"/>
                <w:i w:val="0"/>
                <w:caps w:val="0"/>
                <w:color w:val="auto"/>
                <w:spacing w:val="0"/>
                <w:sz w:val="28"/>
                <w:szCs w:val="28"/>
                <w:u w:val="none"/>
              </w:rPr>
              <w:t>中央和省市媒体推广</w:t>
            </w:r>
          </w:p>
          <w:p>
            <w:pPr>
              <w:pStyle w:val="8"/>
              <w:widowControl/>
              <w:spacing w:beforeAutospacing="0" w:after="0" w:afterAutospacing="0" w:line="216" w:lineRule="atLeast"/>
              <w:ind w:left="0" w:right="0" w:firstLine="405"/>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b w:val="0"/>
                <w:i w:val="0"/>
                <w:caps w:val="0"/>
                <w:color w:val="auto"/>
                <w:spacing w:val="0"/>
                <w:sz w:val="28"/>
                <w:szCs w:val="28"/>
                <w:u w:val="none"/>
              </w:rPr>
              <w:t>2021年03月26 日分别在中国网、中国新闻网、新华网、环球网、中国日报中文网、江西新闻网、江西网络广播电视台等媒体报道发布《创业孵化——助推脱贫攻坚与乡村振兴》，2021年11月26日在大江网及江西网络广播电视台发布《橙香飘四海，石城电商助农谱新章》《初心不改，莲乡姑娘电商创业回报家乡》《电商服务产业，石城脐橙进入网销快车道》文章报道。</w:t>
            </w:r>
          </w:p>
        </w:tc>
        <w:tc>
          <w:tcPr>
            <w:tcW w:w="1452" w:type="dxa"/>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济南他拍档教育科技有限公司</w:t>
            </w:r>
          </w:p>
        </w:tc>
        <w:tc>
          <w:tcPr>
            <w:tcW w:w="851" w:type="dxa"/>
            <w:vAlign w:val="center"/>
          </w:tcPr>
          <w:p>
            <w:pPr>
              <w:widowControl/>
              <w:jc w:val="center"/>
              <w:textAlignment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kern w:val="0"/>
                <w:sz w:val="28"/>
                <w:szCs w:val="28"/>
                <w:lang w:eastAsia="zh-CN" w:bidi="ar"/>
              </w:rPr>
              <w:t>吴铎</w:t>
            </w:r>
          </w:p>
        </w:tc>
        <w:tc>
          <w:tcPr>
            <w:tcW w:w="960" w:type="dxa"/>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44.58</w:t>
            </w:r>
          </w:p>
        </w:tc>
        <w:tc>
          <w:tcPr>
            <w:tcW w:w="939" w:type="dxa"/>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17.832</w:t>
            </w:r>
          </w:p>
        </w:tc>
        <w:tc>
          <w:tcPr>
            <w:tcW w:w="1400" w:type="dxa"/>
            <w:vAlign w:val="center"/>
          </w:tcPr>
          <w:p>
            <w:pPr>
              <w:jc w:val="center"/>
              <w:rPr>
                <w:rFonts w:hint="eastAsia" w:ascii="仿宋_GB2312" w:hAnsi="仿宋_GB2312" w:eastAsia="仿宋_GB2312" w:cs="仿宋_GB2312"/>
                <w:color w:val="auto"/>
                <w:sz w:val="28"/>
                <w:szCs w:val="28"/>
              </w:rPr>
            </w:pPr>
          </w:p>
        </w:tc>
        <w:tc>
          <w:tcPr>
            <w:tcW w:w="792" w:type="dxa"/>
            <w:vAlign w:val="center"/>
          </w:tcPr>
          <w:p>
            <w:pPr>
              <w:jc w:val="center"/>
              <w:rPr>
                <w:rFonts w:hint="eastAsia" w:ascii="仿宋_GB2312" w:hAnsi="仿宋_GB2312" w:eastAsia="仿宋_GB2312" w:cs="仿宋_GB2312"/>
                <w:color w:val="auto"/>
                <w:sz w:val="28"/>
                <w:szCs w:val="28"/>
              </w:rPr>
            </w:pPr>
          </w:p>
        </w:tc>
      </w:tr>
      <w:tr>
        <w:tblPrEx>
          <w:tblLayout w:type="fixed"/>
          <w:tblCellMar>
            <w:top w:w="0" w:type="dxa"/>
            <w:left w:w="108" w:type="dxa"/>
            <w:bottom w:w="0" w:type="dxa"/>
            <w:right w:w="108" w:type="dxa"/>
          </w:tblCellMar>
        </w:tblPrEx>
        <w:trPr>
          <w:trHeight w:val="1474" w:hRule="atLeast"/>
          <w:jc w:val="center"/>
        </w:trPr>
        <w:tc>
          <w:tcPr>
            <w:tcW w:w="886" w:type="dxa"/>
            <w:vMerge w:val="continue"/>
            <w:vAlign w:val="center"/>
          </w:tcPr>
          <w:p>
            <w:pPr>
              <w:jc w:val="center"/>
              <w:rPr>
                <w:rFonts w:hint="eastAsia" w:ascii="仿宋_GB2312" w:hAnsi="仿宋_GB2312" w:eastAsia="仿宋_GB2312" w:cs="仿宋_GB2312"/>
                <w:color w:val="auto"/>
                <w:sz w:val="28"/>
                <w:szCs w:val="28"/>
              </w:rPr>
            </w:pPr>
          </w:p>
        </w:tc>
        <w:tc>
          <w:tcPr>
            <w:tcW w:w="1050" w:type="dxa"/>
            <w:vMerge w:val="continue"/>
            <w:vAlign w:val="center"/>
          </w:tcPr>
          <w:p>
            <w:pPr>
              <w:spacing w:line="590" w:lineRule="exact"/>
              <w:jc w:val="center"/>
              <w:rPr>
                <w:rFonts w:hint="eastAsia" w:ascii="仿宋_GB2312" w:hAnsi="仿宋_GB2312" w:eastAsia="仿宋_GB2312" w:cs="仿宋_GB2312"/>
                <w:color w:val="auto"/>
                <w:sz w:val="28"/>
                <w:szCs w:val="28"/>
              </w:rPr>
            </w:pPr>
          </w:p>
        </w:tc>
        <w:tc>
          <w:tcPr>
            <w:tcW w:w="1150" w:type="dxa"/>
            <w:vMerge w:val="continue"/>
            <w:vAlign w:val="center"/>
          </w:tcPr>
          <w:p>
            <w:pPr>
              <w:jc w:val="center"/>
              <w:rPr>
                <w:rFonts w:hint="eastAsia" w:ascii="仿宋_GB2312" w:hAnsi="仿宋_GB2312" w:eastAsia="仿宋_GB2312" w:cs="仿宋_GB2312"/>
                <w:color w:val="auto"/>
                <w:kern w:val="0"/>
                <w:sz w:val="28"/>
                <w:szCs w:val="28"/>
              </w:rPr>
            </w:pPr>
          </w:p>
        </w:tc>
        <w:tc>
          <w:tcPr>
            <w:tcW w:w="4781" w:type="dxa"/>
            <w:vMerge w:val="continue"/>
            <w:vAlign w:val="center"/>
          </w:tcPr>
          <w:p>
            <w:pPr>
              <w:jc w:val="center"/>
              <w:rPr>
                <w:rFonts w:hint="eastAsia" w:ascii="仿宋_GB2312" w:hAnsi="仿宋_GB2312" w:eastAsia="仿宋_GB2312" w:cs="仿宋_GB2312"/>
                <w:color w:val="auto"/>
                <w:kern w:val="0"/>
                <w:sz w:val="28"/>
                <w:szCs w:val="28"/>
              </w:rPr>
            </w:pPr>
          </w:p>
        </w:tc>
        <w:tc>
          <w:tcPr>
            <w:tcW w:w="1020" w:type="dxa"/>
            <w:vMerge w:val="continue"/>
            <w:vAlign w:val="center"/>
          </w:tcPr>
          <w:p>
            <w:pPr>
              <w:jc w:val="center"/>
              <w:rPr>
                <w:rFonts w:hint="eastAsia" w:ascii="仿宋_GB2312" w:hAnsi="仿宋_GB2312" w:eastAsia="仿宋_GB2312" w:cs="仿宋_GB2312"/>
                <w:color w:val="auto"/>
                <w:sz w:val="28"/>
                <w:szCs w:val="28"/>
              </w:rPr>
            </w:pPr>
          </w:p>
        </w:tc>
        <w:tc>
          <w:tcPr>
            <w:tcW w:w="1515" w:type="dxa"/>
            <w:vMerge w:val="continue"/>
            <w:vAlign w:val="center"/>
          </w:tcPr>
          <w:p>
            <w:pPr>
              <w:jc w:val="center"/>
              <w:rPr>
                <w:rFonts w:hint="eastAsia" w:ascii="仿宋_GB2312" w:hAnsi="仿宋_GB2312" w:eastAsia="仿宋_GB2312" w:cs="仿宋_GB2312"/>
                <w:color w:val="auto"/>
                <w:kern w:val="0"/>
                <w:sz w:val="28"/>
                <w:szCs w:val="28"/>
              </w:rPr>
            </w:pPr>
          </w:p>
        </w:tc>
        <w:tc>
          <w:tcPr>
            <w:tcW w:w="2590"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二、（线下宣传部分）一、户外广告宣传投放</w:t>
            </w:r>
          </w:p>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1.电商产业园的固定宣传栏1.5米x3米1个已设计制作好。永久固定户外宣传墙3米x5米已完成。</w:t>
            </w:r>
          </w:p>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2.已完成琴江镇、丰山乡、高田镇、木兰乡、小松镇、珠坑乡、横江镇、赣江源镇、龙岗乡、大由乡、屏山镇共11个乡（镇）固定墙体广告5米x3米的制作和安装，共计11个已完成。2021.2022.2023年内容已完成</w:t>
            </w:r>
          </w:p>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（二）宣传资料制作和发放</w:t>
            </w:r>
          </w:p>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宣传资料和已制作印发放4万份。第5万份审稿中</w:t>
            </w:r>
          </w:p>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（三）宣传海报/易拉宝制作</w:t>
            </w:r>
          </w:p>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易拉宝已设计安装第一批50个，已分发到公共服务中心和物流集散中心.第二批的易拉宝已设计安装好30个。共安装完成80个</w:t>
            </w:r>
          </w:p>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（四）宣传标语及横幅制作及安装</w:t>
            </w:r>
          </w:p>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在各乡（镇）显眼位置、村部附近、重要路口的墙面涂刷了33条固定电子商务宣传标语；在城区范围主要街道醒目处悬挂1条电子商务宣传标语，在各乡（镇）主要街道、行政村醒目处各悬挂了3条电子商务宣传标语共计432条；已完成</w:t>
            </w:r>
          </w:p>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（五）宣传环保袋、礼品等制作</w:t>
            </w:r>
          </w:p>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   已设计制作采购回定制帆布袋700个，定制围裙500件，定制牙签筒500个。定制T血衫200件 已完成</w:t>
            </w:r>
          </w:p>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（六）电商宣传片制作</w:t>
            </w:r>
          </w:p>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已完成电商宣传片脚本制作、拍摄计划，同时已开始对我县电子商务进农村综合示范项目的进行、实施成效第六次拍摄取景(对县情介绍、镇村级各乡镇村的服务站点、物流配送提升建设、电子商务宣传已取好景)。视频已剪辑好（视频内容待商务局审核修改中）。</w:t>
            </w:r>
          </w:p>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（七）参加市、县产品推广会/展销会宣传物料制作</w:t>
            </w:r>
          </w:p>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一：已制作的60cm*40cm吊旗80面 二：1米*5米注水刀旗10个 三：公共服务中心招牌制作四：相关宣传条幅.门牌.公共服务中心铜牌已制作安装好。四：2022年7月21号红色故都 客家摇篮2022年全市旅游产业发展大会项目签约仪式 五：20家供应商线下宣传活动筹备中6月20号执行好。</w:t>
            </w:r>
          </w:p>
        </w:tc>
        <w:tc>
          <w:tcPr>
            <w:tcW w:w="1452" w:type="dxa"/>
            <w:vAlign w:val="center"/>
          </w:tcPr>
          <w:p>
            <w:pPr>
              <w:widowControl/>
              <w:jc w:val="center"/>
              <w:textAlignment w:val="center"/>
              <w:rPr>
                <w:rFonts w:hint="eastAsia" w:ascii="仿宋_GB2312" w:hAnsi="仿宋_GB2312" w:eastAsia="仿宋_GB2312" w:cs="仿宋_GB2312"/>
                <w:color w:val="auto"/>
                <w:kern w:val="0"/>
                <w:sz w:val="28"/>
                <w:szCs w:val="28"/>
                <w:lang w:bidi="ar"/>
              </w:rPr>
            </w:pPr>
            <w:r>
              <w:rPr>
                <w:rFonts w:hint="eastAsia" w:ascii="仿宋_GB2312" w:hAnsi="仿宋_GB2312" w:eastAsia="仿宋_GB2312" w:cs="仿宋_GB2312"/>
                <w:color w:val="auto"/>
                <w:kern w:val="0"/>
                <w:sz w:val="28"/>
                <w:szCs w:val="28"/>
                <w:lang w:bidi="ar"/>
              </w:rPr>
              <w:t>江西华宇婚庆礼仪有限公司</w:t>
            </w:r>
          </w:p>
        </w:tc>
        <w:tc>
          <w:tcPr>
            <w:tcW w:w="851" w:type="dxa"/>
            <w:vAlign w:val="center"/>
          </w:tcPr>
          <w:p>
            <w:pPr>
              <w:widowControl/>
              <w:jc w:val="center"/>
              <w:textAlignment w:val="center"/>
              <w:rPr>
                <w:rFonts w:hint="eastAsia" w:ascii="仿宋_GB2312" w:hAnsi="仿宋_GB2312" w:eastAsia="仿宋_GB2312" w:cs="仿宋_GB2312"/>
                <w:color w:val="auto"/>
                <w:kern w:val="0"/>
                <w:sz w:val="28"/>
                <w:szCs w:val="28"/>
                <w:lang w:bidi="ar"/>
              </w:rPr>
            </w:pPr>
            <w:r>
              <w:rPr>
                <w:rFonts w:hint="eastAsia" w:ascii="仿宋_GB2312" w:hAnsi="仿宋_GB2312" w:eastAsia="仿宋_GB2312" w:cs="仿宋_GB2312"/>
                <w:color w:val="auto"/>
                <w:kern w:val="0"/>
                <w:sz w:val="28"/>
                <w:szCs w:val="28"/>
                <w:lang w:bidi="ar"/>
              </w:rPr>
              <w:t>吴宇华</w:t>
            </w:r>
          </w:p>
        </w:tc>
        <w:tc>
          <w:tcPr>
            <w:tcW w:w="960" w:type="dxa"/>
            <w:vAlign w:val="center"/>
          </w:tcPr>
          <w:p>
            <w:pPr>
              <w:widowControl/>
              <w:jc w:val="center"/>
              <w:textAlignment w:val="center"/>
              <w:rPr>
                <w:rFonts w:hint="eastAsia" w:ascii="仿宋_GB2312" w:hAnsi="仿宋_GB2312" w:eastAsia="仿宋_GB2312" w:cs="仿宋_GB2312"/>
                <w:color w:val="auto"/>
                <w:kern w:val="0"/>
                <w:sz w:val="28"/>
                <w:szCs w:val="28"/>
                <w:lang w:bidi="ar"/>
              </w:rPr>
            </w:pPr>
            <w:r>
              <w:rPr>
                <w:rFonts w:hint="eastAsia" w:ascii="仿宋_GB2312" w:hAnsi="仿宋_GB2312" w:eastAsia="仿宋_GB2312" w:cs="仿宋_GB2312"/>
                <w:color w:val="auto"/>
                <w:kern w:val="0"/>
                <w:sz w:val="28"/>
                <w:szCs w:val="28"/>
                <w:lang w:bidi="ar"/>
              </w:rPr>
              <w:t>48.5</w:t>
            </w:r>
          </w:p>
        </w:tc>
        <w:tc>
          <w:tcPr>
            <w:tcW w:w="939" w:type="dxa"/>
            <w:vAlign w:val="center"/>
          </w:tcPr>
          <w:p>
            <w:pPr>
              <w:widowControl/>
              <w:jc w:val="center"/>
              <w:textAlignment w:val="center"/>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29.1</w:t>
            </w:r>
          </w:p>
        </w:tc>
        <w:tc>
          <w:tcPr>
            <w:tcW w:w="1400" w:type="dxa"/>
            <w:vAlign w:val="center"/>
          </w:tcPr>
          <w:p>
            <w:pPr>
              <w:jc w:val="center"/>
              <w:rPr>
                <w:rFonts w:hint="eastAsia" w:ascii="仿宋_GB2312" w:hAnsi="仿宋_GB2312" w:eastAsia="仿宋_GB2312" w:cs="仿宋_GB2312"/>
                <w:color w:val="auto"/>
                <w:sz w:val="28"/>
                <w:szCs w:val="28"/>
              </w:rPr>
            </w:pPr>
          </w:p>
        </w:tc>
        <w:tc>
          <w:tcPr>
            <w:tcW w:w="792" w:type="dxa"/>
            <w:vAlign w:val="center"/>
          </w:tcPr>
          <w:p>
            <w:pPr>
              <w:jc w:val="center"/>
              <w:rPr>
                <w:rFonts w:hint="eastAsia" w:ascii="仿宋_GB2312" w:hAnsi="仿宋_GB2312" w:eastAsia="仿宋_GB2312" w:cs="仿宋_GB2312"/>
                <w:color w:val="auto"/>
                <w:sz w:val="28"/>
                <w:szCs w:val="28"/>
              </w:rPr>
            </w:pPr>
          </w:p>
        </w:tc>
      </w:tr>
      <w:tr>
        <w:tblPrEx>
          <w:tblLayout w:type="fixed"/>
          <w:tblCellMar>
            <w:top w:w="0" w:type="dxa"/>
            <w:left w:w="108" w:type="dxa"/>
            <w:bottom w:w="0" w:type="dxa"/>
            <w:right w:w="108" w:type="dxa"/>
          </w:tblCellMar>
        </w:tblPrEx>
        <w:trPr>
          <w:trHeight w:val="1474" w:hRule="atLeast"/>
          <w:jc w:val="center"/>
        </w:trPr>
        <w:tc>
          <w:tcPr>
            <w:tcW w:w="886" w:type="dxa"/>
            <w:vMerge w:val="continue"/>
            <w:vAlign w:val="center"/>
          </w:tcPr>
          <w:p>
            <w:pPr>
              <w:jc w:val="center"/>
              <w:rPr>
                <w:rFonts w:hint="eastAsia" w:ascii="仿宋_GB2312" w:hAnsi="仿宋_GB2312" w:eastAsia="仿宋_GB2312" w:cs="仿宋_GB2312"/>
                <w:color w:val="auto"/>
                <w:sz w:val="28"/>
                <w:szCs w:val="28"/>
              </w:rPr>
            </w:pPr>
          </w:p>
        </w:tc>
        <w:tc>
          <w:tcPr>
            <w:tcW w:w="1050" w:type="dxa"/>
            <w:vMerge w:val="continue"/>
            <w:vAlign w:val="center"/>
          </w:tcPr>
          <w:p>
            <w:pPr>
              <w:spacing w:line="590" w:lineRule="exact"/>
              <w:jc w:val="center"/>
              <w:rPr>
                <w:rFonts w:hint="eastAsia" w:ascii="仿宋_GB2312" w:hAnsi="仿宋_GB2312" w:eastAsia="仿宋_GB2312" w:cs="仿宋_GB2312"/>
                <w:color w:val="auto"/>
                <w:sz w:val="28"/>
                <w:szCs w:val="28"/>
              </w:rPr>
            </w:pPr>
          </w:p>
        </w:tc>
        <w:tc>
          <w:tcPr>
            <w:tcW w:w="1150" w:type="dxa"/>
            <w:vMerge w:val="continue"/>
            <w:vAlign w:val="center"/>
          </w:tcPr>
          <w:p>
            <w:pPr>
              <w:jc w:val="center"/>
              <w:rPr>
                <w:rFonts w:hint="eastAsia" w:ascii="仿宋_GB2312" w:hAnsi="仿宋_GB2312" w:eastAsia="仿宋_GB2312" w:cs="仿宋_GB2312"/>
                <w:color w:val="auto"/>
                <w:kern w:val="0"/>
                <w:sz w:val="28"/>
                <w:szCs w:val="28"/>
              </w:rPr>
            </w:pPr>
          </w:p>
        </w:tc>
        <w:tc>
          <w:tcPr>
            <w:tcW w:w="4781" w:type="dxa"/>
            <w:vMerge w:val="continue"/>
            <w:vAlign w:val="center"/>
          </w:tcPr>
          <w:p>
            <w:pPr>
              <w:jc w:val="center"/>
              <w:rPr>
                <w:rFonts w:hint="eastAsia" w:ascii="仿宋_GB2312" w:hAnsi="仿宋_GB2312" w:eastAsia="仿宋_GB2312" w:cs="仿宋_GB2312"/>
                <w:color w:val="auto"/>
                <w:kern w:val="0"/>
                <w:sz w:val="28"/>
                <w:szCs w:val="28"/>
              </w:rPr>
            </w:pPr>
          </w:p>
        </w:tc>
        <w:tc>
          <w:tcPr>
            <w:tcW w:w="1020" w:type="dxa"/>
            <w:vMerge w:val="continue"/>
            <w:vAlign w:val="center"/>
          </w:tcPr>
          <w:p>
            <w:pPr>
              <w:jc w:val="center"/>
              <w:rPr>
                <w:rFonts w:hint="eastAsia" w:ascii="仿宋_GB2312" w:hAnsi="仿宋_GB2312" w:eastAsia="仿宋_GB2312" w:cs="仿宋_GB2312"/>
                <w:color w:val="auto"/>
                <w:sz w:val="28"/>
                <w:szCs w:val="28"/>
              </w:rPr>
            </w:pPr>
          </w:p>
        </w:tc>
        <w:tc>
          <w:tcPr>
            <w:tcW w:w="1515" w:type="dxa"/>
            <w:vMerge w:val="continue"/>
            <w:vAlign w:val="center"/>
          </w:tcPr>
          <w:p>
            <w:pPr>
              <w:jc w:val="center"/>
              <w:rPr>
                <w:rFonts w:hint="eastAsia" w:ascii="仿宋_GB2312" w:hAnsi="仿宋_GB2312" w:eastAsia="仿宋_GB2312" w:cs="仿宋_GB2312"/>
                <w:color w:val="auto"/>
                <w:kern w:val="0"/>
                <w:sz w:val="28"/>
                <w:szCs w:val="28"/>
              </w:rPr>
            </w:pPr>
          </w:p>
        </w:tc>
        <w:tc>
          <w:tcPr>
            <w:tcW w:w="2590" w:type="dxa"/>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已</w:t>
            </w:r>
            <w:r>
              <w:rPr>
                <w:rFonts w:hint="eastAsia" w:ascii="仿宋_GB2312" w:hAnsi="仿宋_GB2312" w:eastAsia="仿宋_GB2312" w:cs="仿宋_GB2312"/>
                <w:color w:val="auto"/>
                <w:sz w:val="28"/>
                <w:szCs w:val="28"/>
                <w:lang w:eastAsia="zh-CN"/>
              </w:rPr>
              <w:t>于</w:t>
            </w:r>
            <w:r>
              <w:rPr>
                <w:rFonts w:hint="eastAsia" w:ascii="仿宋_GB2312" w:hAnsi="仿宋_GB2312" w:eastAsia="仿宋_GB2312" w:cs="仿宋_GB2312"/>
                <w:color w:val="auto"/>
                <w:sz w:val="28"/>
                <w:szCs w:val="28"/>
                <w:lang w:val="en-US" w:eastAsia="zh-CN"/>
              </w:rPr>
              <w:t>2021年6月9日-11日</w:t>
            </w:r>
            <w:r>
              <w:rPr>
                <w:rFonts w:hint="eastAsia" w:ascii="仿宋_GB2312" w:hAnsi="仿宋_GB2312" w:eastAsia="仿宋_GB2312" w:cs="仿宋_GB2312"/>
                <w:color w:val="auto"/>
                <w:sz w:val="28"/>
                <w:szCs w:val="28"/>
              </w:rPr>
              <w:t>成功举办“红色江西  石城优品”赣品网上行·2021年石城特色产品展销博览会。</w:t>
            </w:r>
          </w:p>
        </w:tc>
        <w:tc>
          <w:tcPr>
            <w:tcW w:w="1452" w:type="dxa"/>
            <w:vAlign w:val="center"/>
          </w:tcPr>
          <w:p>
            <w:pPr>
              <w:widowControl/>
              <w:jc w:val="center"/>
              <w:textAlignment w:val="center"/>
              <w:rPr>
                <w:rFonts w:hint="eastAsia" w:ascii="仿宋_GB2312" w:hAnsi="仿宋_GB2312" w:eastAsia="仿宋_GB2312" w:cs="仿宋_GB2312"/>
                <w:color w:val="auto"/>
                <w:kern w:val="0"/>
                <w:sz w:val="28"/>
                <w:szCs w:val="28"/>
                <w:lang w:bidi="ar"/>
              </w:rPr>
            </w:pPr>
            <w:r>
              <w:rPr>
                <w:rFonts w:hint="eastAsia" w:ascii="仿宋_GB2312" w:hAnsi="仿宋_GB2312" w:eastAsia="仿宋_GB2312" w:cs="仿宋_GB2312"/>
                <w:color w:val="auto"/>
                <w:kern w:val="0"/>
                <w:sz w:val="28"/>
                <w:szCs w:val="28"/>
                <w:lang w:bidi="ar"/>
              </w:rPr>
              <w:t>江西开明农业开发有限公司</w:t>
            </w:r>
          </w:p>
        </w:tc>
        <w:tc>
          <w:tcPr>
            <w:tcW w:w="851" w:type="dxa"/>
            <w:vAlign w:val="center"/>
          </w:tcPr>
          <w:p>
            <w:pPr>
              <w:widowControl/>
              <w:jc w:val="center"/>
              <w:textAlignment w:val="center"/>
              <w:rPr>
                <w:rFonts w:hint="eastAsia" w:ascii="仿宋_GB2312" w:hAnsi="仿宋_GB2312" w:eastAsia="仿宋_GB2312" w:cs="仿宋_GB2312"/>
                <w:color w:val="auto"/>
                <w:kern w:val="0"/>
                <w:sz w:val="28"/>
                <w:szCs w:val="28"/>
                <w:lang w:bidi="ar"/>
              </w:rPr>
            </w:pPr>
            <w:r>
              <w:rPr>
                <w:rFonts w:hint="eastAsia" w:ascii="仿宋_GB2312" w:hAnsi="仿宋_GB2312" w:eastAsia="仿宋_GB2312" w:cs="仿宋_GB2312"/>
                <w:color w:val="auto"/>
                <w:kern w:val="0"/>
                <w:sz w:val="28"/>
                <w:szCs w:val="28"/>
                <w:lang w:bidi="ar"/>
              </w:rPr>
              <w:t>袁斌</w:t>
            </w:r>
          </w:p>
        </w:tc>
        <w:tc>
          <w:tcPr>
            <w:tcW w:w="960" w:type="dxa"/>
            <w:vAlign w:val="center"/>
          </w:tcPr>
          <w:p>
            <w:pPr>
              <w:widowControl/>
              <w:jc w:val="center"/>
              <w:textAlignment w:val="center"/>
              <w:rPr>
                <w:rFonts w:hint="eastAsia" w:ascii="仿宋_GB2312" w:hAnsi="仿宋_GB2312" w:eastAsia="仿宋_GB2312" w:cs="仿宋_GB2312"/>
                <w:color w:val="auto"/>
                <w:kern w:val="0"/>
                <w:sz w:val="28"/>
                <w:szCs w:val="28"/>
                <w:lang w:bidi="ar"/>
              </w:rPr>
            </w:pPr>
            <w:r>
              <w:rPr>
                <w:rFonts w:hint="eastAsia" w:ascii="仿宋_GB2312" w:hAnsi="仿宋_GB2312" w:eastAsia="仿宋_GB2312" w:cs="仿宋_GB2312"/>
                <w:color w:val="auto"/>
                <w:kern w:val="0"/>
                <w:sz w:val="28"/>
                <w:szCs w:val="28"/>
                <w:lang w:bidi="ar"/>
              </w:rPr>
              <w:t>29</w:t>
            </w:r>
          </w:p>
        </w:tc>
        <w:tc>
          <w:tcPr>
            <w:tcW w:w="939" w:type="dxa"/>
            <w:vAlign w:val="center"/>
          </w:tcPr>
          <w:p>
            <w:pPr>
              <w:widowControl/>
              <w:jc w:val="center"/>
              <w:textAlignment w:val="center"/>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29</w:t>
            </w:r>
          </w:p>
        </w:tc>
        <w:tc>
          <w:tcPr>
            <w:tcW w:w="1400" w:type="dxa"/>
            <w:vAlign w:val="center"/>
          </w:tcPr>
          <w:p>
            <w:pPr>
              <w:jc w:val="center"/>
              <w:rPr>
                <w:rFonts w:hint="eastAsia" w:ascii="仿宋_GB2312" w:hAnsi="仿宋_GB2312" w:eastAsia="仿宋_GB2312" w:cs="仿宋_GB2312"/>
                <w:color w:val="auto"/>
                <w:sz w:val="28"/>
                <w:szCs w:val="28"/>
              </w:rPr>
            </w:pPr>
          </w:p>
        </w:tc>
        <w:tc>
          <w:tcPr>
            <w:tcW w:w="792" w:type="dxa"/>
            <w:vAlign w:val="center"/>
          </w:tcPr>
          <w:p>
            <w:pPr>
              <w:jc w:val="center"/>
              <w:rPr>
                <w:rFonts w:hint="eastAsia" w:ascii="仿宋_GB2312" w:hAnsi="仿宋_GB2312" w:eastAsia="仿宋_GB2312" w:cs="仿宋_GB2312"/>
                <w:color w:val="auto"/>
                <w:sz w:val="28"/>
                <w:szCs w:val="28"/>
              </w:rPr>
            </w:pPr>
          </w:p>
        </w:tc>
      </w:tr>
      <w:tr>
        <w:tblPrEx>
          <w:tblLayout w:type="fixed"/>
          <w:tblCellMar>
            <w:top w:w="0" w:type="dxa"/>
            <w:left w:w="108" w:type="dxa"/>
            <w:bottom w:w="0" w:type="dxa"/>
            <w:right w:w="108" w:type="dxa"/>
          </w:tblCellMar>
        </w:tblPrEx>
        <w:trPr>
          <w:trHeight w:val="1474" w:hRule="atLeast"/>
          <w:jc w:val="center"/>
        </w:trPr>
        <w:tc>
          <w:tcPr>
            <w:tcW w:w="886"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7</w:t>
            </w:r>
          </w:p>
        </w:tc>
        <w:tc>
          <w:tcPr>
            <w:tcW w:w="1050" w:type="dxa"/>
            <w:vAlign w:val="center"/>
          </w:tcPr>
          <w:p>
            <w:pPr>
              <w:spacing w:line="59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石府办字〔202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34</w:t>
            </w:r>
            <w:r>
              <w:rPr>
                <w:rFonts w:hint="eastAsia" w:ascii="仿宋_GB2312" w:hAnsi="仿宋_GB2312" w:eastAsia="仿宋_GB2312" w:cs="仿宋_GB2312"/>
                <w:color w:val="auto"/>
                <w:sz w:val="28"/>
                <w:szCs w:val="28"/>
              </w:rPr>
              <w:t>号</w:t>
            </w:r>
          </w:p>
        </w:tc>
        <w:tc>
          <w:tcPr>
            <w:tcW w:w="1150" w:type="dxa"/>
            <w:vAlign w:val="center"/>
          </w:tcPr>
          <w:p>
            <w:pPr>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县域电子商务公共服务运营提升</w:t>
            </w:r>
          </w:p>
        </w:tc>
        <w:tc>
          <w:tcPr>
            <w:tcW w:w="4781" w:type="dxa"/>
            <w:vAlign w:val="center"/>
          </w:tcPr>
          <w:p>
            <w:pPr>
              <w:jc w:val="center"/>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lang w:eastAsia="zh-CN"/>
              </w:rPr>
              <w:t>一、</w:t>
            </w:r>
            <w:r>
              <w:rPr>
                <w:rFonts w:hint="eastAsia" w:ascii="仿宋_GB2312" w:hAnsi="仿宋_GB2312" w:eastAsia="仿宋_GB2312" w:cs="仿宋_GB2312"/>
                <w:color w:val="auto"/>
                <w:kern w:val="0"/>
                <w:sz w:val="28"/>
                <w:szCs w:val="28"/>
              </w:rPr>
              <w:t>功能完善及氛围提升</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highlight w:val="none"/>
              </w:rPr>
              <w:t>提供5人运营团队，含摄影美工、电商运营、项目经理、业务助理、营销策划。完善氛围，提升装饰和电商功能，具体包括直播室、创客区、培训会议区、企业入驻区、公共运营区等公共区域的软文化布置及氛围装饰。为线上公服中心运营、乡村创富、农产品上行、县域商业体系建设等提供资源统筹、县域电商普惠服务，乡村振兴指导服务，为项目提供监督、迎检、信息上报、电商宣传、品牌活动策划、业务推进、项目自评和验收准备等工作指导，并形成工作记录</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lang w:eastAsia="zh-CN"/>
              </w:rPr>
              <w:t>二、</w:t>
            </w:r>
            <w:r>
              <w:rPr>
                <w:rFonts w:hint="eastAsia" w:ascii="仿宋_GB2312" w:hAnsi="仿宋_GB2312" w:eastAsia="仿宋_GB2312" w:cs="仿宋_GB2312"/>
                <w:color w:val="auto"/>
                <w:kern w:val="0"/>
                <w:sz w:val="28"/>
                <w:szCs w:val="28"/>
              </w:rPr>
              <w:t>打造线上公服中心</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highlight w:val="none"/>
              </w:rPr>
              <w:t>提供农特产品电商素材、策划文案、视频音频素材、线上电商学习、县域政策发布与咨询、活动赛事互动区、原创发布等服务</w:t>
            </w:r>
            <w:r>
              <w:rPr>
                <w:rFonts w:hint="eastAsia" w:ascii="仿宋_GB2312" w:hAnsi="仿宋_GB2312" w:eastAsia="仿宋_GB2312" w:cs="仿宋_GB2312"/>
                <w:color w:val="auto"/>
                <w:kern w:val="0"/>
                <w:sz w:val="28"/>
                <w:szCs w:val="28"/>
                <w:highlight w:val="none"/>
                <w:lang w:eastAsia="zh-CN"/>
              </w:rPr>
              <w:t>。三、</w:t>
            </w:r>
            <w:r>
              <w:rPr>
                <w:rFonts w:hint="eastAsia" w:ascii="仿宋_GB2312" w:hAnsi="仿宋_GB2312" w:eastAsia="仿宋_GB2312" w:cs="仿宋_GB2312"/>
                <w:b w:val="0"/>
                <w:bCs w:val="0"/>
                <w:color w:val="auto"/>
                <w:kern w:val="0"/>
                <w:sz w:val="28"/>
                <w:szCs w:val="28"/>
              </w:rPr>
              <w:t>县域电商供应链服务</w:t>
            </w:r>
            <w:r>
              <w:rPr>
                <w:rFonts w:hint="eastAsia" w:ascii="仿宋_GB2312" w:hAnsi="仿宋_GB2312" w:eastAsia="仿宋_GB2312" w:cs="仿宋_GB2312"/>
                <w:b w:val="0"/>
                <w:bCs w:val="0"/>
                <w:color w:val="auto"/>
                <w:kern w:val="0"/>
                <w:sz w:val="28"/>
                <w:szCs w:val="28"/>
                <w:lang w:eastAsia="zh-CN"/>
              </w:rPr>
              <w:t>。</w:t>
            </w:r>
            <w:r>
              <w:rPr>
                <w:rFonts w:hint="eastAsia" w:ascii="仿宋_GB2312" w:hAnsi="仿宋_GB2312" w:eastAsia="仿宋_GB2312" w:cs="仿宋_GB2312"/>
                <w:color w:val="auto"/>
                <w:kern w:val="0"/>
                <w:sz w:val="28"/>
                <w:szCs w:val="28"/>
                <w:highlight w:val="none"/>
              </w:rPr>
              <w:t>在公共服务中心现有的场所及产业基础上，打造石城县鞋服类产业数字化的产供销体系，助推县域主导产业电商化发展，从而反向推动石城电商的产业化发展，通过打造鞋服的电商产业链，推动石城鞋服类相关产业、企业实现数字化转型升级，带动石城数字经济稳步提升。</w:t>
            </w:r>
          </w:p>
        </w:tc>
        <w:tc>
          <w:tcPr>
            <w:tcW w:w="1020"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74.7</w:t>
            </w:r>
          </w:p>
        </w:tc>
        <w:tc>
          <w:tcPr>
            <w:tcW w:w="1515" w:type="dxa"/>
            <w:vAlign w:val="center"/>
          </w:tcPr>
          <w:p>
            <w:pPr>
              <w:jc w:val="center"/>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color w:val="auto"/>
                <w:kern w:val="0"/>
                <w:sz w:val="28"/>
                <w:szCs w:val="28"/>
                <w:highlight w:val="none"/>
                <w:lang w:eastAsia="zh-CN"/>
              </w:rPr>
              <w:t>一、</w:t>
            </w:r>
            <w:r>
              <w:rPr>
                <w:rFonts w:hint="eastAsia" w:ascii="仿宋_GB2312" w:hAnsi="仿宋_GB2312" w:eastAsia="仿宋_GB2312" w:cs="仿宋_GB2312"/>
                <w:color w:val="auto"/>
                <w:kern w:val="0"/>
                <w:sz w:val="28"/>
                <w:szCs w:val="28"/>
                <w:highlight w:val="none"/>
              </w:rPr>
              <w:t>引入电商资源，确保县电商公共服务中心企业入驻率达80%以上，定期开展电商服务(每年开展2-4场电商服务）。</w:t>
            </w:r>
            <w:r>
              <w:rPr>
                <w:rFonts w:hint="eastAsia" w:ascii="仿宋_GB2312" w:hAnsi="仿宋_GB2312" w:eastAsia="仿宋_GB2312" w:cs="仿宋_GB2312"/>
                <w:color w:val="auto"/>
                <w:kern w:val="0"/>
                <w:sz w:val="28"/>
                <w:szCs w:val="28"/>
                <w:highlight w:val="none"/>
                <w:lang w:eastAsia="zh-CN"/>
              </w:rPr>
              <w:t>二、</w:t>
            </w:r>
            <w:r>
              <w:rPr>
                <w:rFonts w:hint="eastAsia" w:ascii="仿宋_GB2312" w:hAnsi="仿宋_GB2312" w:eastAsia="仿宋_GB2312" w:cs="仿宋_GB2312"/>
                <w:color w:val="auto"/>
                <w:kern w:val="0"/>
                <w:sz w:val="28"/>
                <w:szCs w:val="28"/>
                <w:highlight w:val="none"/>
              </w:rPr>
              <w:t>每年为电商主体提供100次以上相关电商服务（涵盖电商运营、营销、品牌、人才培育等），并使至少3家服务对象网络销售额增长20%以上。同时依托线上公共服务中心能够展现项目基本情况、实施进度、成效等内容。</w:t>
            </w:r>
            <w:r>
              <w:rPr>
                <w:rFonts w:hint="eastAsia" w:ascii="仿宋_GB2312" w:hAnsi="仿宋_GB2312" w:eastAsia="仿宋_GB2312" w:cs="仿宋_GB2312"/>
                <w:color w:val="auto"/>
                <w:kern w:val="0"/>
                <w:sz w:val="28"/>
                <w:szCs w:val="28"/>
                <w:highlight w:val="none"/>
                <w:lang w:eastAsia="zh-CN"/>
              </w:rPr>
              <w:t>三、</w:t>
            </w:r>
            <w:r>
              <w:rPr>
                <w:rFonts w:hint="eastAsia" w:ascii="仿宋_GB2312" w:hAnsi="仿宋_GB2312" w:eastAsia="仿宋_GB2312" w:cs="仿宋_GB2312"/>
                <w:color w:val="auto"/>
                <w:kern w:val="0"/>
                <w:sz w:val="28"/>
                <w:szCs w:val="28"/>
                <w:highlight w:val="none"/>
              </w:rPr>
              <w:t>推动以鞋服为代表的企业依托电商实现产值前一年同期增长20%以上，产品流通效率增长20%以上。产业化程度明显提升，供应链水平处于行业领先水平，通过数字化升级，为提升石城鞋服的产业互联网水平打牢基础。</w:t>
            </w:r>
          </w:p>
        </w:tc>
        <w:tc>
          <w:tcPr>
            <w:tcW w:w="2590" w:type="dxa"/>
            <w:vAlign w:val="center"/>
          </w:tcPr>
          <w:p>
            <w:pPr>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一、已按项目要求投入专业的运营团队入驻运营，含美工、电商运营、项目经理、业务助理、营销策划等13人员团队的组建。已完成了公共服务中心氛围提升设计方案，并规划了电商功能：直播间、创客区、培训会议区、 企业入驻区、公共运营区等功能设计，与32家企业签订了入孵协议。</w:t>
            </w:r>
          </w:p>
          <w:p>
            <w:pPr>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二、运营推广“石城县电子商务公共服务中心”公众号；开设抖音、百家号等自媒体矩阵；</w:t>
            </w:r>
          </w:p>
          <w:p>
            <w:pPr>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三、已注册1家供应链公司，开设微店并上架石城农特产品进行运营推广；</w:t>
            </w:r>
          </w:p>
          <w:p>
            <w:pPr>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在公共服务中心举办石城县“电商菁英”沙龙座谈会，邀请业界大咖现场教学分享；已完成沙龙活动5场，2022年11月11“石城县电商菁英”主题沙龙活动2023.2.23石城县2023年电商主题沙龙活动座谈会，暨赣江源镇第三届乡村旅游文化节活动；石城好货 请你来“带”</w:t>
            </w:r>
          </w:p>
          <w:p>
            <w:pPr>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“双11”电商直播大比拼活动，3.17石城县2023年电商主题沙龙活动户外拓展，4.25石城县2023年电商座谈，石城县，5月21号2023年电商户外拓展618预热理想生活沙龙活动，</w:t>
            </w:r>
          </w:p>
          <w:p>
            <w:pPr>
              <w:jc w:val="left"/>
              <w:rPr>
                <w:rFonts w:hint="eastAsia" w:ascii="仿宋_GB2312" w:hAnsi="仿宋_GB2312" w:eastAsia="仿宋_GB2312" w:cs="仿宋_GB2312"/>
                <w:color w:val="auto"/>
                <w:sz w:val="28"/>
                <w:szCs w:val="28"/>
                <w:lang w:val="en-US" w:eastAsia="zh-CN"/>
              </w:rPr>
            </w:pPr>
            <w:r>
              <w:rPr>
                <w:rFonts w:hint="eastAsia" w:hAnsi="仿宋_GB2312" w:cs="仿宋_GB2312"/>
                <w:color w:val="auto"/>
                <w:sz w:val="28"/>
                <w:szCs w:val="28"/>
                <w:lang w:val="en-US" w:eastAsia="zh-CN"/>
              </w:rPr>
              <w:t>四、</w:t>
            </w:r>
            <w:r>
              <w:rPr>
                <w:rFonts w:hint="eastAsia" w:ascii="仿宋_GB2312" w:hAnsi="仿宋_GB2312" w:eastAsia="仿宋_GB2312" w:cs="仿宋_GB2312"/>
                <w:color w:val="auto"/>
                <w:sz w:val="28"/>
                <w:szCs w:val="28"/>
                <w:lang w:val="en-US" w:eastAsia="zh-CN"/>
              </w:rPr>
              <w:t>搭建公共服务中心直播间并投入使用。</w:t>
            </w:r>
          </w:p>
          <w:p>
            <w:pPr>
              <w:jc w:val="left"/>
              <w:rPr>
                <w:rFonts w:hint="eastAsia" w:ascii="仿宋_GB2312" w:hAnsi="仿宋_GB2312" w:eastAsia="仿宋_GB2312" w:cs="仿宋_GB2312"/>
                <w:color w:val="auto"/>
                <w:sz w:val="28"/>
                <w:szCs w:val="28"/>
              </w:rPr>
            </w:pPr>
          </w:p>
        </w:tc>
        <w:tc>
          <w:tcPr>
            <w:tcW w:w="1452" w:type="dxa"/>
            <w:vAlign w:val="center"/>
          </w:tcPr>
          <w:p>
            <w:pPr>
              <w:widowControl/>
              <w:jc w:val="center"/>
              <w:textAlignment w:val="center"/>
              <w:rPr>
                <w:rFonts w:hint="eastAsia" w:ascii="仿宋_GB2312" w:hAnsi="仿宋_GB2312" w:eastAsia="仿宋_GB2312" w:cs="仿宋_GB2312"/>
                <w:color w:val="auto"/>
                <w:kern w:val="0"/>
                <w:sz w:val="28"/>
                <w:szCs w:val="28"/>
                <w:lang w:eastAsia="zh-CN" w:bidi="ar"/>
              </w:rPr>
            </w:pPr>
            <w:r>
              <w:rPr>
                <w:rFonts w:hint="eastAsia" w:ascii="仿宋_GB2312" w:hAnsi="仿宋_GB2312" w:eastAsia="仿宋_GB2312" w:cs="仿宋_GB2312"/>
                <w:color w:val="auto"/>
                <w:kern w:val="0"/>
                <w:sz w:val="28"/>
                <w:szCs w:val="28"/>
                <w:lang w:eastAsia="zh-CN" w:bidi="ar"/>
              </w:rPr>
              <w:t>江西民音科技有限公司</w:t>
            </w:r>
          </w:p>
        </w:tc>
        <w:tc>
          <w:tcPr>
            <w:tcW w:w="851" w:type="dxa"/>
            <w:vAlign w:val="center"/>
          </w:tcPr>
          <w:p>
            <w:pPr>
              <w:widowControl/>
              <w:jc w:val="center"/>
              <w:textAlignment w:val="center"/>
              <w:rPr>
                <w:rFonts w:hint="eastAsia" w:ascii="仿宋_GB2312" w:hAnsi="仿宋_GB2312" w:eastAsia="仿宋_GB2312" w:cs="仿宋_GB2312"/>
                <w:color w:val="auto"/>
                <w:kern w:val="0"/>
                <w:sz w:val="28"/>
                <w:szCs w:val="28"/>
                <w:lang w:eastAsia="zh-CN" w:bidi="ar"/>
              </w:rPr>
            </w:pPr>
            <w:r>
              <w:rPr>
                <w:rFonts w:hint="eastAsia" w:ascii="仿宋_GB2312" w:hAnsi="仿宋_GB2312" w:eastAsia="仿宋_GB2312" w:cs="仿宋_GB2312"/>
                <w:color w:val="auto"/>
                <w:kern w:val="0"/>
                <w:sz w:val="28"/>
                <w:szCs w:val="28"/>
                <w:lang w:eastAsia="zh-CN" w:bidi="ar"/>
              </w:rPr>
              <w:t>蒋道辉</w:t>
            </w:r>
          </w:p>
        </w:tc>
        <w:tc>
          <w:tcPr>
            <w:tcW w:w="960" w:type="dxa"/>
            <w:vAlign w:val="center"/>
          </w:tcPr>
          <w:p>
            <w:pPr>
              <w:widowControl/>
              <w:jc w:val="center"/>
              <w:textAlignment w:val="center"/>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74.7</w:t>
            </w:r>
          </w:p>
        </w:tc>
        <w:tc>
          <w:tcPr>
            <w:tcW w:w="939" w:type="dxa"/>
            <w:vAlign w:val="center"/>
          </w:tcPr>
          <w:p>
            <w:pPr>
              <w:widowControl/>
              <w:jc w:val="center"/>
              <w:textAlignment w:val="center"/>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22.41</w:t>
            </w:r>
          </w:p>
        </w:tc>
        <w:tc>
          <w:tcPr>
            <w:tcW w:w="1400" w:type="dxa"/>
            <w:vAlign w:val="center"/>
          </w:tcPr>
          <w:p>
            <w:pPr>
              <w:jc w:val="center"/>
              <w:rPr>
                <w:rFonts w:hint="eastAsia" w:ascii="仿宋_GB2312" w:hAnsi="仿宋_GB2312" w:eastAsia="仿宋_GB2312" w:cs="仿宋_GB2312"/>
                <w:color w:val="auto"/>
                <w:sz w:val="28"/>
                <w:szCs w:val="28"/>
              </w:rPr>
            </w:pPr>
          </w:p>
        </w:tc>
        <w:tc>
          <w:tcPr>
            <w:tcW w:w="792" w:type="dxa"/>
            <w:vAlign w:val="center"/>
          </w:tcPr>
          <w:p>
            <w:pPr>
              <w:jc w:val="center"/>
              <w:rPr>
                <w:rFonts w:hint="eastAsia" w:ascii="仿宋_GB2312" w:hAnsi="仿宋_GB2312" w:eastAsia="仿宋_GB2312" w:cs="仿宋_GB2312"/>
                <w:color w:val="auto"/>
                <w:sz w:val="28"/>
                <w:szCs w:val="28"/>
              </w:rPr>
            </w:pPr>
          </w:p>
        </w:tc>
      </w:tr>
      <w:tr>
        <w:tblPrEx>
          <w:tblLayout w:type="fixed"/>
          <w:tblCellMar>
            <w:top w:w="0" w:type="dxa"/>
            <w:left w:w="108" w:type="dxa"/>
            <w:bottom w:w="0" w:type="dxa"/>
            <w:right w:w="108" w:type="dxa"/>
          </w:tblCellMar>
        </w:tblPrEx>
        <w:trPr>
          <w:trHeight w:val="1474" w:hRule="atLeast"/>
          <w:jc w:val="center"/>
        </w:trPr>
        <w:tc>
          <w:tcPr>
            <w:tcW w:w="886"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8</w:t>
            </w:r>
          </w:p>
        </w:tc>
        <w:tc>
          <w:tcPr>
            <w:tcW w:w="1050" w:type="dxa"/>
            <w:vAlign w:val="center"/>
          </w:tcPr>
          <w:p>
            <w:pPr>
              <w:spacing w:line="59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石府办字〔202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34</w:t>
            </w:r>
            <w:r>
              <w:rPr>
                <w:rFonts w:hint="eastAsia" w:ascii="仿宋_GB2312" w:hAnsi="仿宋_GB2312" w:eastAsia="仿宋_GB2312" w:cs="仿宋_GB2312"/>
                <w:color w:val="auto"/>
                <w:sz w:val="28"/>
                <w:szCs w:val="28"/>
              </w:rPr>
              <w:t>号</w:t>
            </w:r>
          </w:p>
        </w:tc>
        <w:tc>
          <w:tcPr>
            <w:tcW w:w="1150" w:type="dxa"/>
            <w:vAlign w:val="center"/>
          </w:tcPr>
          <w:p>
            <w:pPr>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sz w:val="28"/>
                <w:szCs w:val="28"/>
                <w:lang w:val="en-US" w:eastAsia="zh-CN"/>
              </w:rPr>
              <w:t xml:space="preserve">县域商业体系建设示范探索 </w:t>
            </w:r>
          </w:p>
        </w:tc>
        <w:tc>
          <w:tcPr>
            <w:tcW w:w="4781" w:type="dxa"/>
            <w:vAlign w:val="center"/>
          </w:tcPr>
          <w:p>
            <w:pPr>
              <w:jc w:val="center"/>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eastAsia="zh-CN"/>
              </w:rPr>
              <w:t>一、</w:t>
            </w:r>
            <w:r>
              <w:rPr>
                <w:rFonts w:hint="eastAsia" w:ascii="仿宋_GB2312" w:hAnsi="仿宋_GB2312" w:eastAsia="仿宋_GB2312" w:cs="仿宋_GB2312"/>
                <w:color w:val="auto"/>
                <w:kern w:val="0"/>
                <w:sz w:val="28"/>
                <w:szCs w:val="28"/>
              </w:rPr>
              <w:t>县域商业体系摸底调查报告制定</w:t>
            </w:r>
            <w:r>
              <w:rPr>
                <w:rFonts w:hint="eastAsia" w:ascii="仿宋_GB2312" w:hAnsi="仿宋_GB2312" w:eastAsia="仿宋_GB2312" w:cs="仿宋_GB2312"/>
                <w:color w:val="auto"/>
                <w:kern w:val="0"/>
                <w:sz w:val="28"/>
                <w:szCs w:val="28"/>
                <w:lang w:eastAsia="zh-CN"/>
              </w:rPr>
              <w:t>。二、</w:t>
            </w:r>
            <w:r>
              <w:rPr>
                <w:rFonts w:hint="eastAsia" w:ascii="仿宋_GB2312" w:hAnsi="仿宋_GB2312" w:eastAsia="仿宋_GB2312" w:cs="仿宋_GB2312"/>
                <w:color w:val="auto"/>
                <w:kern w:val="0"/>
                <w:sz w:val="28"/>
                <w:szCs w:val="28"/>
              </w:rPr>
              <w:t>城市消费促进及工业品下乡</w:t>
            </w:r>
            <w:r>
              <w:rPr>
                <w:rFonts w:hint="eastAsia" w:ascii="仿宋_GB2312" w:hAnsi="仿宋_GB2312" w:eastAsia="仿宋_GB2312" w:cs="仿宋_GB2312"/>
                <w:color w:val="auto"/>
                <w:kern w:val="0"/>
                <w:sz w:val="28"/>
                <w:szCs w:val="28"/>
                <w:lang w:eastAsia="zh-CN"/>
              </w:rPr>
              <w:t>。三、</w:t>
            </w:r>
            <w:r>
              <w:rPr>
                <w:rFonts w:hint="eastAsia" w:ascii="仿宋_GB2312" w:hAnsi="仿宋_GB2312" w:eastAsia="仿宋_GB2312" w:cs="仿宋_GB2312"/>
                <w:color w:val="auto"/>
                <w:kern w:val="0"/>
                <w:sz w:val="28"/>
                <w:szCs w:val="28"/>
              </w:rPr>
              <w:t>县域商贸流通领域产品服务能力提升</w:t>
            </w:r>
            <w:r>
              <w:rPr>
                <w:rFonts w:hint="eastAsia" w:ascii="仿宋_GB2312" w:hAnsi="仿宋_GB2312" w:eastAsia="仿宋_GB2312" w:cs="仿宋_GB2312"/>
                <w:color w:val="auto"/>
                <w:kern w:val="0"/>
                <w:sz w:val="28"/>
                <w:szCs w:val="28"/>
                <w:lang w:eastAsia="zh-CN"/>
              </w:rPr>
              <w:t>。四、建设</w:t>
            </w:r>
            <w:r>
              <w:rPr>
                <w:rFonts w:hint="eastAsia" w:ascii="仿宋_GB2312" w:hAnsi="仿宋_GB2312" w:eastAsia="仿宋_GB2312" w:cs="仿宋_GB2312"/>
                <w:color w:val="auto"/>
                <w:kern w:val="0"/>
                <w:sz w:val="28"/>
                <w:szCs w:val="28"/>
              </w:rPr>
              <w:t>乡镇为农服务中心</w:t>
            </w:r>
            <w:r>
              <w:rPr>
                <w:rFonts w:hint="eastAsia" w:ascii="仿宋_GB2312" w:hAnsi="仿宋_GB2312" w:eastAsia="仿宋_GB2312" w:cs="仿宋_GB2312"/>
                <w:color w:val="auto"/>
                <w:kern w:val="0"/>
                <w:sz w:val="28"/>
                <w:szCs w:val="28"/>
                <w:lang w:val="en-US" w:eastAsia="zh-CN"/>
              </w:rPr>
              <w:t>3个。</w:t>
            </w:r>
          </w:p>
        </w:tc>
        <w:tc>
          <w:tcPr>
            <w:tcW w:w="1020"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164.6</w:t>
            </w:r>
          </w:p>
        </w:tc>
        <w:tc>
          <w:tcPr>
            <w:tcW w:w="1515" w:type="dxa"/>
            <w:vAlign w:val="center"/>
          </w:tcPr>
          <w:p>
            <w:pPr>
              <w:jc w:val="center"/>
              <w:rPr>
                <w:rFonts w:hint="eastAsia" w:ascii="仿宋_GB2312" w:hAnsi="仿宋_GB2312" w:eastAsia="仿宋_GB2312" w:cs="仿宋_GB2312"/>
                <w:color w:val="auto"/>
                <w:kern w:val="0"/>
                <w:sz w:val="28"/>
                <w:szCs w:val="28"/>
                <w:highlight w:val="none"/>
                <w:lang w:eastAsia="zh-CN"/>
              </w:rPr>
            </w:pPr>
            <w:r>
              <w:rPr>
                <w:rFonts w:hint="eastAsia" w:ascii="仿宋_GB2312" w:hAnsi="仿宋_GB2312" w:eastAsia="仿宋_GB2312" w:cs="仿宋_GB2312"/>
                <w:color w:val="auto"/>
                <w:kern w:val="0"/>
                <w:sz w:val="28"/>
                <w:szCs w:val="28"/>
                <w:highlight w:val="none"/>
                <w:lang w:eastAsia="zh-CN"/>
              </w:rPr>
              <w:t>一、制订</w:t>
            </w:r>
            <w:r>
              <w:rPr>
                <w:rFonts w:hint="eastAsia" w:ascii="仿宋_GB2312" w:hAnsi="仿宋_GB2312" w:eastAsia="仿宋_GB2312" w:cs="仿宋_GB2312"/>
                <w:color w:val="auto"/>
                <w:kern w:val="0"/>
                <w:sz w:val="28"/>
                <w:szCs w:val="28"/>
                <w:highlight w:val="none"/>
                <w:lang w:val="en-US" w:eastAsia="zh-CN"/>
              </w:rPr>
              <w:t>1</w:t>
            </w:r>
            <w:r>
              <w:rPr>
                <w:rFonts w:hint="eastAsia" w:ascii="仿宋_GB2312" w:hAnsi="仿宋_GB2312" w:eastAsia="仿宋_GB2312" w:cs="仿宋_GB2312"/>
                <w:color w:val="auto"/>
                <w:kern w:val="0"/>
                <w:sz w:val="28"/>
                <w:szCs w:val="28"/>
                <w:highlight w:val="none"/>
                <w:lang w:eastAsia="zh-CN"/>
              </w:rPr>
              <w:t>份</w:t>
            </w:r>
            <w:r>
              <w:rPr>
                <w:rFonts w:hint="eastAsia" w:ascii="仿宋_GB2312" w:hAnsi="仿宋_GB2312" w:eastAsia="仿宋_GB2312" w:cs="仿宋_GB2312"/>
                <w:color w:val="auto"/>
                <w:kern w:val="0"/>
                <w:sz w:val="28"/>
                <w:szCs w:val="28"/>
                <w:highlight w:val="none"/>
              </w:rPr>
              <w:t>围绕石城县三级商业网络建设及功能情况、乡村商贸流通建设情况，围绕县乡村流通双向渠道建设、农产品上行体系发展状况和县域农特产品产业的供应链发展情况，形成县域商业摸底调查报告</w:t>
            </w:r>
            <w:r>
              <w:rPr>
                <w:rFonts w:hint="eastAsia" w:ascii="仿宋_GB2312" w:hAnsi="仿宋_GB2312" w:eastAsia="仿宋_GB2312" w:cs="仿宋_GB2312"/>
                <w:color w:val="auto"/>
                <w:kern w:val="0"/>
                <w:sz w:val="28"/>
                <w:szCs w:val="28"/>
                <w:highlight w:val="none"/>
                <w:lang w:eastAsia="zh-CN"/>
              </w:rPr>
              <w:t>。二、</w:t>
            </w:r>
            <w:r>
              <w:rPr>
                <w:rFonts w:hint="eastAsia" w:ascii="仿宋_GB2312" w:hAnsi="仿宋_GB2312" w:eastAsia="仿宋_GB2312" w:cs="仿宋_GB2312"/>
                <w:color w:val="auto"/>
                <w:kern w:val="0"/>
                <w:sz w:val="28"/>
                <w:szCs w:val="28"/>
                <w:highlight w:val="none"/>
              </w:rPr>
              <w:t>协助县城重点商贸中心、商超、商业综合体商贸企业等定期开展每年2次的产品和服务促消费活动，推动相关县域商贸、流通、连锁等业态开展耐用品、农业生产资料下乡活动2场，服务期内活动场次合计不少于7次；活动方式不限于线下推广、线上促销等方式，通过大数据、云计算等助推传统商贸企业在经营方式上朝着数字化方向发展，使老百姓真真切切感受到数字生活带来的便利。</w:t>
            </w:r>
            <w:r>
              <w:rPr>
                <w:rFonts w:hint="eastAsia" w:ascii="仿宋_GB2312" w:hAnsi="仿宋_GB2312" w:eastAsia="仿宋_GB2312" w:cs="仿宋_GB2312"/>
                <w:color w:val="auto"/>
                <w:kern w:val="0"/>
                <w:sz w:val="28"/>
                <w:szCs w:val="28"/>
                <w:highlight w:val="none"/>
                <w:lang w:eastAsia="zh-CN"/>
              </w:rPr>
              <w:t>三、</w:t>
            </w:r>
            <w:r>
              <w:rPr>
                <w:rFonts w:hint="eastAsia" w:ascii="仿宋_GB2312" w:hAnsi="仿宋_GB2312" w:eastAsia="仿宋_GB2312" w:cs="仿宋_GB2312"/>
                <w:color w:val="auto"/>
                <w:kern w:val="0"/>
                <w:sz w:val="28"/>
                <w:szCs w:val="28"/>
                <w:highlight w:val="none"/>
              </w:rPr>
              <w:t>对当地比较有代表性的2个区域农批市场、集贸市场或乡镇商贸中心（尤其是建制镇）等开展规范经营引导、功能升级、设备完善（具备完善的商贸物流功能）及宣传推广；并引导至少1个当本地大型商贸企业、连锁超市、邮政、供销、社会快递物流企业等下沉供应链、商业模式、服务、商贸物流相结合等。推动社区团购进乡镇，推动乡村线上消费与贸市场经营主体快速发展。</w:t>
            </w:r>
            <w:r>
              <w:rPr>
                <w:rFonts w:hint="eastAsia" w:ascii="仿宋_GB2312" w:hAnsi="仿宋_GB2312" w:eastAsia="仿宋_GB2312" w:cs="仿宋_GB2312"/>
                <w:color w:val="auto"/>
                <w:kern w:val="0"/>
                <w:sz w:val="28"/>
                <w:szCs w:val="28"/>
                <w:highlight w:val="none"/>
              </w:rPr>
              <w:br w:type="textWrapping"/>
            </w:r>
            <w:r>
              <w:rPr>
                <w:rFonts w:hint="eastAsia" w:ascii="仿宋_GB2312" w:hAnsi="仿宋_GB2312" w:eastAsia="仿宋_GB2312" w:cs="仿宋_GB2312"/>
                <w:color w:val="auto"/>
                <w:kern w:val="0"/>
                <w:sz w:val="28"/>
                <w:szCs w:val="28"/>
                <w:highlight w:val="none"/>
                <w:lang w:eastAsia="zh-CN"/>
              </w:rPr>
              <w:t>四、</w:t>
            </w:r>
            <w:r>
              <w:rPr>
                <w:rFonts w:hint="eastAsia" w:ascii="仿宋_GB2312" w:hAnsi="仿宋_GB2312" w:eastAsia="仿宋_GB2312" w:cs="仿宋_GB2312"/>
                <w:color w:val="auto"/>
                <w:kern w:val="0"/>
                <w:sz w:val="28"/>
                <w:szCs w:val="28"/>
                <w:highlight w:val="none"/>
              </w:rPr>
              <w:t>依托乡镇电商公共服务中心或乡镇现有场所，整合、提升或改造3个乡镇为农服务示范中心。每年每个中心为至少15个以上经营主体提供以上相关服务，实现对象经营成本降低10%或业绩增长超过15%以上的目标，并通过直播、短视频等方式实现线上推广和线下展示相结合的数字化电商发展新业态。</w:t>
            </w:r>
            <w:r>
              <w:rPr>
                <w:rFonts w:hint="eastAsia" w:ascii="仿宋_GB2312" w:hAnsi="仿宋_GB2312" w:eastAsia="仿宋_GB2312" w:cs="仿宋_GB2312"/>
                <w:color w:val="auto"/>
                <w:kern w:val="0"/>
                <w:sz w:val="28"/>
                <w:szCs w:val="28"/>
                <w:highlight w:val="none"/>
              </w:rPr>
              <w:br w:type="textWrapping"/>
            </w:r>
          </w:p>
        </w:tc>
        <w:tc>
          <w:tcPr>
            <w:tcW w:w="2590" w:type="dxa"/>
            <w:vAlign w:val="center"/>
          </w:tcPr>
          <w:p>
            <w:pPr>
              <w:pStyle w:val="4"/>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一、完成率县域商业体系建设的调研工作并形成调研报告；</w:t>
            </w:r>
          </w:p>
          <w:p>
            <w:pPr>
              <w:pStyle w:val="4"/>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二、举办了7场促销费活动：8月17号“石城县旅游文化节暨横江镇第三届美食节”活动；10月17日石城县“十百千万”系列活动暨横江镇消费帮扶专场活动；10月25日石城县“十百千万”系列活动暨赣江源镇第三届乡村旅游文化节活动。12月30日石城县小松镇“十百千万”系列活动暨小松镇首届旅游大会及年货节。4月28号石城县庆五一“石”惠“城”意鞋服嗨购节暨“赣品网前冲”活动，2023年6月1号石城县“工业品促销购物节”活动珠坑乡专场，2023年6月3号石城县“工业品促销购物节”活动丰山乡专场</w:t>
            </w:r>
          </w:p>
          <w:p>
            <w:pPr>
              <w:pStyle w:val="4"/>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三、制定农贸市场实施方案。小松农贸市场已完成所有上墙物料，公益广告，规章制度，标准化管理，注册了小松农贸市场公众号“小松农贸”。</w:t>
            </w:r>
          </w:p>
          <w:p>
            <w:pPr>
              <w:pStyle w:val="4"/>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四、对接赣江源镇、丰山乡为农服务中心建设进度，跟进落实赣江源镇农贸市场升级改造。已完成丰山乡为农服务中心门头及内部装修，硬件投入已完成，</w:t>
            </w:r>
          </w:p>
          <w:p>
            <w:pPr>
              <w:pStyle w:val="4"/>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赣江源镇为农服务中心2篇丰山乡为农服务中心5篇龙岗乡为农服务中心3篇</w:t>
            </w:r>
          </w:p>
          <w:p>
            <w:pPr>
              <w:pStyle w:val="4"/>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赣江源镇、龙岗乡、丰山乡为农服务中心已开展生活生产资料下乡活动3场。</w:t>
            </w:r>
          </w:p>
          <w:p>
            <w:pPr>
              <w:pStyle w:val="4"/>
              <w:rPr>
                <w:rFonts w:hint="eastAsia" w:ascii="仿宋_GB2312" w:hAnsi="仿宋_GB2312" w:eastAsia="仿宋_GB2312" w:cs="仿宋_GB2312"/>
                <w:color w:val="auto"/>
                <w:sz w:val="28"/>
                <w:szCs w:val="28"/>
                <w:lang w:val="en-US" w:eastAsia="zh-CN"/>
              </w:rPr>
            </w:pPr>
          </w:p>
        </w:tc>
        <w:tc>
          <w:tcPr>
            <w:tcW w:w="1452" w:type="dxa"/>
            <w:vAlign w:val="center"/>
          </w:tcPr>
          <w:p>
            <w:pPr>
              <w:widowControl/>
              <w:jc w:val="center"/>
              <w:textAlignment w:val="center"/>
              <w:rPr>
                <w:rFonts w:hint="eastAsia" w:ascii="仿宋_GB2312" w:hAnsi="仿宋_GB2312" w:eastAsia="仿宋_GB2312" w:cs="仿宋_GB2312"/>
                <w:color w:val="auto"/>
                <w:kern w:val="0"/>
                <w:sz w:val="28"/>
                <w:szCs w:val="28"/>
                <w:lang w:eastAsia="zh-CN" w:bidi="ar"/>
              </w:rPr>
            </w:pPr>
            <w:r>
              <w:rPr>
                <w:rFonts w:hint="eastAsia" w:ascii="仿宋_GB2312" w:hAnsi="仿宋_GB2312" w:eastAsia="仿宋_GB2312" w:cs="仿宋_GB2312"/>
                <w:color w:val="auto"/>
                <w:kern w:val="0"/>
                <w:sz w:val="28"/>
                <w:szCs w:val="28"/>
                <w:lang w:eastAsia="zh-CN" w:bidi="ar"/>
              </w:rPr>
              <w:t>江西民音科技有限公司</w:t>
            </w:r>
          </w:p>
        </w:tc>
        <w:tc>
          <w:tcPr>
            <w:tcW w:w="851" w:type="dxa"/>
            <w:vAlign w:val="center"/>
          </w:tcPr>
          <w:p>
            <w:pPr>
              <w:widowControl/>
              <w:jc w:val="center"/>
              <w:textAlignment w:val="center"/>
              <w:rPr>
                <w:rFonts w:hint="eastAsia" w:ascii="仿宋_GB2312" w:hAnsi="仿宋_GB2312" w:eastAsia="仿宋_GB2312" w:cs="仿宋_GB2312"/>
                <w:color w:val="auto"/>
                <w:kern w:val="0"/>
                <w:sz w:val="28"/>
                <w:szCs w:val="28"/>
                <w:lang w:eastAsia="zh-CN" w:bidi="ar"/>
              </w:rPr>
            </w:pPr>
            <w:r>
              <w:rPr>
                <w:rFonts w:hint="eastAsia" w:ascii="仿宋_GB2312" w:hAnsi="仿宋_GB2312" w:eastAsia="仿宋_GB2312" w:cs="仿宋_GB2312"/>
                <w:color w:val="auto"/>
                <w:kern w:val="0"/>
                <w:sz w:val="28"/>
                <w:szCs w:val="28"/>
                <w:lang w:eastAsia="zh-CN" w:bidi="ar"/>
              </w:rPr>
              <w:t>蒋道辉</w:t>
            </w:r>
          </w:p>
        </w:tc>
        <w:tc>
          <w:tcPr>
            <w:tcW w:w="960" w:type="dxa"/>
            <w:vAlign w:val="center"/>
          </w:tcPr>
          <w:p>
            <w:pPr>
              <w:widowControl/>
              <w:jc w:val="center"/>
              <w:textAlignment w:val="center"/>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164.6</w:t>
            </w:r>
          </w:p>
        </w:tc>
        <w:tc>
          <w:tcPr>
            <w:tcW w:w="939" w:type="dxa"/>
            <w:vAlign w:val="center"/>
          </w:tcPr>
          <w:p>
            <w:pPr>
              <w:widowControl/>
              <w:jc w:val="center"/>
              <w:textAlignment w:val="center"/>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49.38</w:t>
            </w:r>
          </w:p>
        </w:tc>
        <w:tc>
          <w:tcPr>
            <w:tcW w:w="1400" w:type="dxa"/>
            <w:vAlign w:val="center"/>
          </w:tcPr>
          <w:p>
            <w:pPr>
              <w:jc w:val="center"/>
              <w:rPr>
                <w:rFonts w:hint="eastAsia" w:ascii="仿宋_GB2312" w:hAnsi="仿宋_GB2312" w:eastAsia="仿宋_GB2312" w:cs="仿宋_GB2312"/>
                <w:color w:val="auto"/>
                <w:sz w:val="28"/>
                <w:szCs w:val="28"/>
              </w:rPr>
            </w:pPr>
          </w:p>
        </w:tc>
        <w:tc>
          <w:tcPr>
            <w:tcW w:w="792" w:type="dxa"/>
            <w:vAlign w:val="center"/>
          </w:tcPr>
          <w:p>
            <w:pPr>
              <w:jc w:val="center"/>
              <w:rPr>
                <w:rFonts w:hint="eastAsia" w:ascii="仿宋_GB2312" w:hAnsi="仿宋_GB2312" w:eastAsia="仿宋_GB2312" w:cs="仿宋_GB2312"/>
                <w:color w:val="auto"/>
                <w:sz w:val="28"/>
                <w:szCs w:val="28"/>
              </w:rPr>
            </w:pPr>
          </w:p>
        </w:tc>
      </w:tr>
      <w:tr>
        <w:tblPrEx>
          <w:tblLayout w:type="fixed"/>
          <w:tblCellMar>
            <w:top w:w="0" w:type="dxa"/>
            <w:left w:w="108" w:type="dxa"/>
            <w:bottom w:w="0" w:type="dxa"/>
            <w:right w:w="108" w:type="dxa"/>
          </w:tblCellMar>
        </w:tblPrEx>
        <w:trPr>
          <w:trHeight w:val="1474" w:hRule="atLeast"/>
          <w:jc w:val="center"/>
        </w:trPr>
        <w:tc>
          <w:tcPr>
            <w:tcW w:w="886"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9</w:t>
            </w:r>
          </w:p>
        </w:tc>
        <w:tc>
          <w:tcPr>
            <w:tcW w:w="1050" w:type="dxa"/>
            <w:vAlign w:val="center"/>
          </w:tcPr>
          <w:p>
            <w:pPr>
              <w:spacing w:line="59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石府办字〔202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34</w:t>
            </w:r>
            <w:r>
              <w:rPr>
                <w:rFonts w:hint="eastAsia" w:ascii="仿宋_GB2312" w:hAnsi="仿宋_GB2312" w:eastAsia="仿宋_GB2312" w:cs="仿宋_GB2312"/>
                <w:color w:val="auto"/>
                <w:sz w:val="28"/>
                <w:szCs w:val="28"/>
              </w:rPr>
              <w:t>号</w:t>
            </w:r>
          </w:p>
        </w:tc>
        <w:tc>
          <w:tcPr>
            <w:tcW w:w="1150"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乡村产品上行体系提升建设</w:t>
            </w:r>
          </w:p>
        </w:tc>
        <w:tc>
          <w:tcPr>
            <w:tcW w:w="4781" w:type="dxa"/>
            <w:vAlign w:val="center"/>
          </w:tcPr>
          <w:p>
            <w:pPr>
              <w:jc w:val="center"/>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highlight w:val="white"/>
                <w:lang w:val="en-US" w:eastAsia="zh-CN"/>
              </w:rPr>
              <w:t>一、举办一场区域公共品牌发布会。二、区域公共品牌县域户外展示与宣传、三打造一个石城县农村产品品牌文化馆建设及区域公共品牌推广。四、农产品经营主体重点跟踪孵化服务。五、举办一场石城白莲相关节事电商活动。六、农特产品展览展销推广。七、区域公共品牌推广八、农旅电商示范基地打造。</w:t>
            </w:r>
          </w:p>
        </w:tc>
        <w:tc>
          <w:tcPr>
            <w:tcW w:w="1020"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259.68</w:t>
            </w:r>
          </w:p>
        </w:tc>
        <w:tc>
          <w:tcPr>
            <w:tcW w:w="1515" w:type="dxa"/>
            <w:vAlign w:val="center"/>
          </w:tcPr>
          <w:p>
            <w:pPr>
              <w:jc w:val="center"/>
              <w:rPr>
                <w:rFonts w:hint="eastAsia" w:ascii="仿宋_GB2312" w:hAnsi="仿宋_GB2312" w:eastAsia="仿宋_GB2312" w:cs="仿宋_GB2312"/>
                <w:color w:val="auto"/>
                <w:kern w:val="0"/>
                <w:sz w:val="28"/>
                <w:szCs w:val="28"/>
                <w:highlight w:val="none"/>
                <w:lang w:eastAsia="zh-CN"/>
              </w:rPr>
            </w:pPr>
            <w:r>
              <w:rPr>
                <w:rFonts w:hint="eastAsia" w:ascii="仿宋_GB2312" w:hAnsi="仿宋_GB2312" w:eastAsia="仿宋_GB2312" w:cs="仿宋_GB2312"/>
                <w:color w:val="auto"/>
                <w:kern w:val="0"/>
                <w:sz w:val="28"/>
                <w:szCs w:val="28"/>
                <w:highlight w:val="white"/>
                <w:lang w:val="en-US" w:eastAsia="zh-CN"/>
              </w:rPr>
              <w:t>1.举办1场具有行业影响力、国内影响力的线下“石城白莲”区域公共品牌发布会（暨石城白莲文化节）。2.选取县域内2个场所展示石城县区域公共品牌文化元素</w:t>
            </w:r>
            <w:r>
              <w:rPr>
                <w:rFonts w:hint="eastAsia" w:ascii="仿宋_GB2312" w:hAnsi="仿宋_GB2312" w:eastAsia="仿宋_GB2312" w:cs="仿宋_GB2312"/>
                <w:color w:val="auto"/>
                <w:kern w:val="0"/>
                <w:sz w:val="28"/>
                <w:szCs w:val="28"/>
                <w:highlight w:val="white"/>
                <w:lang w:val="en-US" w:eastAsia="zh-CN"/>
              </w:rPr>
              <w:br w:type="textWrapping"/>
            </w:r>
            <w:r>
              <w:rPr>
                <w:rFonts w:hint="eastAsia" w:ascii="仿宋_GB2312" w:hAnsi="仿宋_GB2312" w:eastAsia="仿宋_GB2312" w:cs="仿宋_GB2312"/>
                <w:color w:val="auto"/>
                <w:kern w:val="0"/>
                <w:sz w:val="28"/>
                <w:szCs w:val="28"/>
                <w:highlight w:val="white"/>
                <w:lang w:val="en-US" w:eastAsia="zh-CN"/>
              </w:rPr>
              <w:t>，展示周期2个月以上。3.打造1个石城县农特产品区域品牌及企业品牌线下文化展示馆。</w:t>
            </w:r>
            <w:r>
              <w:rPr>
                <w:rFonts w:hint="eastAsia" w:ascii="仿宋_GB2312" w:hAnsi="仿宋_GB2312" w:eastAsia="仿宋_GB2312" w:cs="仿宋_GB2312"/>
                <w:color w:val="auto"/>
                <w:kern w:val="0"/>
                <w:sz w:val="28"/>
                <w:szCs w:val="28"/>
                <w:highlight w:val="white"/>
                <w:lang w:val="en-US" w:eastAsia="zh-CN"/>
              </w:rPr>
              <w:br w:type="textWrapping"/>
            </w:r>
            <w:r>
              <w:rPr>
                <w:rFonts w:hint="eastAsia" w:ascii="仿宋_GB2312" w:hAnsi="仿宋_GB2312" w:eastAsia="仿宋_GB2312" w:cs="仿宋_GB2312"/>
                <w:color w:val="auto"/>
                <w:kern w:val="0"/>
                <w:sz w:val="28"/>
                <w:szCs w:val="28"/>
                <w:highlight w:val="white"/>
                <w:lang w:val="en-US" w:eastAsia="zh-CN"/>
              </w:rPr>
              <w:t>4.选取县域10家农产品经营主体（或其他鞋服类电商经营主体）。实现至少3家服务对象比上年同期经营成本降低20%或业绩增长超过20%。树立2个电商典型案例或标杆在至少累计10个平台开展不少于20次宣传。推动服务对象线上线下融合发展，通过电商化助推企业朝着数字化方向发展。5.举办1场白莲相关活动。通过以上相关活动实现直接（间接）业绩超过20万元，并在媒体或网络平台进行20次宣传。6.协助4家县内企业参加国内的展览展销。通过展销活动实现单个企业平均3万以上销售额或累计为服务对象拓宽渠道网络1个以上。7.把“石城白莲”区域公共品牌相关元素引入国内比较有代表性的活动、赛事、组织等。</w:t>
            </w:r>
            <w:r>
              <w:rPr>
                <w:rFonts w:hint="eastAsia" w:ascii="仿宋_GB2312" w:hAnsi="仿宋_GB2312" w:eastAsia="仿宋_GB2312" w:cs="仿宋_GB2312"/>
                <w:color w:val="auto"/>
                <w:kern w:val="0"/>
                <w:sz w:val="28"/>
                <w:szCs w:val="28"/>
                <w:highlight w:val="white"/>
                <w:lang w:val="en-US" w:eastAsia="zh-CN"/>
              </w:rPr>
              <w:br w:type="textWrapping"/>
            </w:r>
            <w:r>
              <w:rPr>
                <w:rFonts w:hint="eastAsia" w:ascii="仿宋_GB2312" w:hAnsi="仿宋_GB2312" w:eastAsia="仿宋_GB2312" w:cs="仿宋_GB2312"/>
                <w:color w:val="auto"/>
                <w:kern w:val="0"/>
                <w:sz w:val="28"/>
                <w:szCs w:val="28"/>
                <w:highlight w:val="white"/>
                <w:lang w:val="en-US" w:eastAsia="zh-CN"/>
              </w:rPr>
              <w:t>8.整合打造3个农旅电商示范基地。</w:t>
            </w:r>
            <w:r>
              <w:rPr>
                <w:rFonts w:hint="eastAsia" w:ascii="仿宋_GB2312" w:hAnsi="仿宋_GB2312" w:eastAsia="仿宋_GB2312" w:cs="仿宋_GB2312"/>
                <w:color w:val="auto"/>
                <w:kern w:val="0"/>
                <w:sz w:val="28"/>
                <w:szCs w:val="28"/>
                <w:highlight w:val="white"/>
                <w:lang w:val="en-US" w:eastAsia="zh-CN"/>
              </w:rPr>
              <w:br w:type="textWrapping"/>
            </w:r>
            <w:r>
              <w:rPr>
                <w:rFonts w:hint="eastAsia" w:ascii="仿宋_GB2312" w:hAnsi="仿宋_GB2312" w:eastAsia="仿宋_GB2312" w:cs="仿宋_GB2312"/>
                <w:color w:val="auto"/>
                <w:kern w:val="0"/>
                <w:sz w:val="28"/>
                <w:szCs w:val="28"/>
                <w:highlight w:val="white"/>
                <w:lang w:val="en-US" w:eastAsia="zh-CN"/>
              </w:rPr>
              <w:t>直接或间接实现单个示范基地年营业额10万以上。探索推动相关示范基地在经营上朝着“智慧旅游”方向发展，实现数字化营销和推广能力提升。</w:t>
            </w:r>
            <w:r>
              <w:rPr>
                <w:rFonts w:hint="eastAsia" w:ascii="仿宋_GB2312" w:hAnsi="仿宋_GB2312" w:eastAsia="仿宋_GB2312" w:cs="仿宋_GB2312"/>
                <w:color w:val="auto"/>
                <w:kern w:val="0"/>
                <w:sz w:val="28"/>
                <w:szCs w:val="28"/>
                <w:highlight w:val="white"/>
                <w:lang w:val="en-US" w:eastAsia="zh-CN"/>
              </w:rPr>
              <w:br w:type="textWrapping"/>
            </w:r>
          </w:p>
        </w:tc>
        <w:tc>
          <w:tcPr>
            <w:tcW w:w="2590"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1.已完成线下品牌文化展示馆建设</w:t>
            </w:r>
            <w:r>
              <w:rPr>
                <w:rFonts w:hint="eastAsia" w:hAnsi="仿宋_GB2312" w:cs="仿宋_GB2312"/>
                <w:color w:val="auto"/>
                <w:sz w:val="28"/>
                <w:szCs w:val="28"/>
                <w:lang w:val="en-US" w:eastAsia="zh-CN"/>
              </w:rPr>
              <w:t>及线上品牌馆的搭建；</w:t>
            </w:r>
          </w:p>
          <w:p>
            <w:pPr>
              <w:jc w:val="center"/>
              <w:rPr>
                <w:rFonts w:hint="eastAsia" w:ascii="仿宋_GB2312" w:hAnsi="仿宋_GB2312" w:eastAsia="仿宋_GB2312" w:cs="仿宋_GB2312"/>
                <w:color w:val="auto"/>
                <w:sz w:val="28"/>
                <w:szCs w:val="28"/>
                <w:lang w:val="en-US" w:eastAsia="zh-CN"/>
              </w:rPr>
            </w:pPr>
            <w:r>
              <w:rPr>
                <w:rFonts w:hint="eastAsia" w:hAnsi="仿宋_GB2312" w:cs="仿宋_GB2312"/>
                <w:color w:val="auto"/>
                <w:sz w:val="28"/>
                <w:szCs w:val="28"/>
                <w:lang w:val="en-US" w:eastAsia="zh-CN"/>
              </w:rPr>
              <w:t>2.已</w:t>
            </w:r>
            <w:r>
              <w:rPr>
                <w:rFonts w:hint="eastAsia" w:ascii="仿宋_GB2312" w:hAnsi="仿宋_GB2312" w:eastAsia="仿宋_GB2312" w:cs="仿宋_GB2312"/>
                <w:color w:val="auto"/>
                <w:sz w:val="28"/>
                <w:szCs w:val="28"/>
                <w:lang w:val="en-US" w:eastAsia="zh-CN"/>
              </w:rPr>
              <w:t>出具</w:t>
            </w:r>
            <w:r>
              <w:rPr>
                <w:rFonts w:hint="eastAsia" w:hAnsi="仿宋_GB2312" w:cs="仿宋_GB2312"/>
                <w:color w:val="auto"/>
                <w:sz w:val="28"/>
                <w:szCs w:val="28"/>
                <w:lang w:val="en-US" w:eastAsia="zh-CN"/>
              </w:rPr>
              <w:t>农文旅基地</w:t>
            </w:r>
            <w:r>
              <w:rPr>
                <w:rFonts w:hint="eastAsia" w:ascii="仿宋_GB2312" w:hAnsi="仿宋_GB2312" w:eastAsia="仿宋_GB2312" w:cs="仿宋_GB2312"/>
                <w:color w:val="auto"/>
                <w:sz w:val="28"/>
                <w:szCs w:val="28"/>
                <w:lang w:val="en-US" w:eastAsia="zh-CN"/>
              </w:rPr>
              <w:t>调研报告一份；</w:t>
            </w:r>
          </w:p>
          <w:p>
            <w:pPr>
              <w:pStyle w:val="4"/>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3.确定服务主体，根据服务对象开展日常跟进工作。</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color w:val="auto"/>
                <w:sz w:val="28"/>
                <w:szCs w:val="28"/>
                <w:lang w:val="en-US" w:eastAsia="zh-CN"/>
              </w:rPr>
              <w:t>4.搭建直播间一间，并配备直播设备开始投入使用。</w:t>
            </w:r>
          </w:p>
        </w:tc>
        <w:tc>
          <w:tcPr>
            <w:tcW w:w="1452" w:type="dxa"/>
            <w:vAlign w:val="center"/>
          </w:tcPr>
          <w:p>
            <w:pPr>
              <w:widowControl/>
              <w:jc w:val="center"/>
              <w:textAlignment w:val="center"/>
              <w:rPr>
                <w:rFonts w:hint="eastAsia" w:ascii="仿宋_GB2312" w:hAnsi="仿宋_GB2312" w:eastAsia="仿宋_GB2312" w:cs="仿宋_GB2312"/>
                <w:color w:val="auto"/>
                <w:kern w:val="0"/>
                <w:sz w:val="28"/>
                <w:szCs w:val="28"/>
                <w:lang w:eastAsia="zh-CN" w:bidi="ar"/>
              </w:rPr>
            </w:pPr>
            <w:r>
              <w:rPr>
                <w:rFonts w:hint="eastAsia" w:ascii="仿宋_GB2312" w:hAnsi="仿宋_GB2312" w:eastAsia="仿宋_GB2312" w:cs="仿宋_GB2312"/>
                <w:color w:val="auto"/>
                <w:kern w:val="0"/>
                <w:sz w:val="28"/>
                <w:szCs w:val="28"/>
                <w:highlight w:val="white"/>
                <w:lang w:val="en-US" w:eastAsia="zh-CN"/>
              </w:rPr>
              <w:t>杭州光瑞信息科技有限公司</w:t>
            </w:r>
          </w:p>
        </w:tc>
        <w:tc>
          <w:tcPr>
            <w:tcW w:w="851" w:type="dxa"/>
            <w:vAlign w:val="center"/>
          </w:tcPr>
          <w:p>
            <w:pPr>
              <w:widowControl/>
              <w:jc w:val="center"/>
              <w:textAlignment w:val="center"/>
              <w:rPr>
                <w:rFonts w:hint="eastAsia" w:ascii="仿宋_GB2312" w:hAnsi="仿宋_GB2312" w:eastAsia="仿宋_GB2312" w:cs="仿宋_GB2312"/>
                <w:color w:val="auto"/>
                <w:kern w:val="0"/>
                <w:sz w:val="28"/>
                <w:szCs w:val="28"/>
                <w:lang w:eastAsia="zh-CN" w:bidi="ar"/>
              </w:rPr>
            </w:pPr>
            <w:r>
              <w:rPr>
                <w:rFonts w:hint="eastAsia" w:ascii="仿宋_GB2312" w:hAnsi="仿宋_GB2312" w:eastAsia="仿宋_GB2312" w:cs="仿宋_GB2312"/>
                <w:color w:val="auto"/>
                <w:kern w:val="0"/>
                <w:sz w:val="28"/>
                <w:szCs w:val="28"/>
                <w:lang w:eastAsia="zh-CN" w:bidi="ar"/>
              </w:rPr>
              <w:t>白亚东</w:t>
            </w:r>
          </w:p>
        </w:tc>
        <w:tc>
          <w:tcPr>
            <w:tcW w:w="960" w:type="dxa"/>
            <w:vAlign w:val="center"/>
          </w:tcPr>
          <w:p>
            <w:pPr>
              <w:widowControl/>
              <w:jc w:val="center"/>
              <w:textAlignment w:val="center"/>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259.68</w:t>
            </w:r>
          </w:p>
        </w:tc>
        <w:tc>
          <w:tcPr>
            <w:tcW w:w="939" w:type="dxa"/>
            <w:vAlign w:val="center"/>
          </w:tcPr>
          <w:p>
            <w:pPr>
              <w:widowControl/>
              <w:jc w:val="center"/>
              <w:textAlignment w:val="center"/>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77.904</w:t>
            </w:r>
          </w:p>
        </w:tc>
        <w:tc>
          <w:tcPr>
            <w:tcW w:w="1400" w:type="dxa"/>
            <w:vAlign w:val="center"/>
          </w:tcPr>
          <w:p>
            <w:pPr>
              <w:jc w:val="center"/>
              <w:rPr>
                <w:rFonts w:hint="eastAsia" w:ascii="仿宋_GB2312" w:hAnsi="仿宋_GB2312" w:eastAsia="仿宋_GB2312" w:cs="仿宋_GB2312"/>
                <w:color w:val="auto"/>
                <w:sz w:val="28"/>
                <w:szCs w:val="28"/>
              </w:rPr>
            </w:pPr>
          </w:p>
        </w:tc>
        <w:tc>
          <w:tcPr>
            <w:tcW w:w="792" w:type="dxa"/>
            <w:vAlign w:val="center"/>
          </w:tcPr>
          <w:p>
            <w:pPr>
              <w:jc w:val="center"/>
              <w:rPr>
                <w:rFonts w:hint="eastAsia" w:ascii="仿宋_GB2312" w:hAnsi="仿宋_GB2312" w:eastAsia="仿宋_GB2312" w:cs="仿宋_GB2312"/>
                <w:color w:val="auto"/>
                <w:sz w:val="28"/>
                <w:szCs w:val="28"/>
              </w:rPr>
            </w:pPr>
          </w:p>
        </w:tc>
      </w:tr>
    </w:tbl>
    <w:p>
      <w:pPr/>
    </w:p>
    <w:p>
      <w:pPr/>
    </w:p>
    <w:sectPr>
      <w:pgSz w:w="23811" w:h="16838" w:orient="landscape"/>
      <w:pgMar w:top="2098" w:right="1587" w:bottom="2098" w:left="1587"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0" w:usb1="00000000" w:usb2="00000000" w:usb3="00000000" w:csb0="00040000" w:csb1="00000000"/>
  </w:font>
  <w:font w:name="Helvetica Neue">
    <w:altName w:val="Segoe UI"/>
    <w:panose1 w:val="00000000000000000000"/>
    <w:charset w:val="00"/>
    <w:family w:val="auto"/>
    <w:pitch w:val="default"/>
    <w:sig w:usb0="00000000" w:usb1="00000000" w:usb2="00000010" w:usb3="00000000" w:csb0="00000000" w:csb1="00000000"/>
  </w:font>
  <w:font w:name="Segoe UI">
    <w:panose1 w:val="020B0502040204020203"/>
    <w:charset w:val="00"/>
    <w:family w:val="auto"/>
    <w:pitch w:val="default"/>
    <w:sig w:usb0="00000000" w:usb1="00000000" w:usb2="00000029" w:usb3="00000000" w:csb0="200001DF" w:csb1="20000000"/>
  </w:font>
  <w:font w:name="Calibri Light">
    <w:panose1 w:val="020F0302020204030204"/>
    <w:charset w:val="00"/>
    <w:family w:val="swiss"/>
    <w:pitch w:val="default"/>
    <w:sig w:usb0="00000000" w:usb1="00000000" w:usb2="00000000" w:usb3="00000000" w:csb0="2000019F" w:csb1="00000000"/>
  </w:font>
  <w:font w:name="方正小标宋简体">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014E0"/>
    <w:multiLevelType w:val="multilevel"/>
    <w:tmpl w:val="58C014E0"/>
    <w:lvl w:ilvl="0" w:tentative="0">
      <w:start w:val="1"/>
      <w:numFmt w:val="decimal"/>
      <w:lvlText w:val="%1."/>
      <w:lvlJc w:val="left"/>
      <w:pPr>
        <w:ind w:left="480" w:hanging="480"/>
      </w:pPr>
      <w:rPr>
        <w:rFonts w:hint="eastAsia"/>
      </w:rPr>
    </w:lvl>
    <w:lvl w:ilvl="1" w:tentative="0">
      <w:start w:val="1"/>
      <w:numFmt w:val="decimal"/>
      <w:pStyle w:val="2"/>
      <w:isLgl/>
      <w:lvlText w:val="%1.%2."/>
      <w:lvlJc w:val="left"/>
      <w:pPr>
        <w:ind w:left="1140" w:hanging="720"/>
      </w:pPr>
      <w:rPr>
        <w:rFonts w:hint="eastAsia"/>
      </w:rPr>
    </w:lvl>
    <w:lvl w:ilvl="2" w:tentative="0">
      <w:start w:val="1"/>
      <w:numFmt w:val="decimal"/>
      <w:isLgl/>
      <w:lvlText w:val="%1.%2.%3."/>
      <w:lvlJc w:val="left"/>
      <w:pPr>
        <w:ind w:left="1560" w:hanging="720"/>
      </w:pPr>
      <w:rPr>
        <w:rFonts w:hint="eastAsia"/>
      </w:rPr>
    </w:lvl>
    <w:lvl w:ilvl="3" w:tentative="0">
      <w:start w:val="1"/>
      <w:numFmt w:val="decimal"/>
      <w:isLgl/>
      <w:lvlText w:val="%1.%2.%3.%4."/>
      <w:lvlJc w:val="left"/>
      <w:pPr>
        <w:ind w:left="2340" w:hanging="1080"/>
      </w:pPr>
      <w:rPr>
        <w:rFonts w:hint="eastAsia"/>
      </w:rPr>
    </w:lvl>
    <w:lvl w:ilvl="4" w:tentative="0">
      <w:start w:val="1"/>
      <w:numFmt w:val="decimal"/>
      <w:isLgl/>
      <w:lvlText w:val="%1.%2.%3.%4.%5."/>
      <w:lvlJc w:val="left"/>
      <w:pPr>
        <w:ind w:left="2760" w:hanging="1080"/>
      </w:pPr>
      <w:rPr>
        <w:rFonts w:hint="eastAsia"/>
      </w:rPr>
    </w:lvl>
    <w:lvl w:ilvl="5" w:tentative="0">
      <w:start w:val="1"/>
      <w:numFmt w:val="decimal"/>
      <w:isLgl/>
      <w:lvlText w:val="%1.%2.%3.%4.%5.%6."/>
      <w:lvlJc w:val="left"/>
      <w:pPr>
        <w:ind w:left="3540" w:hanging="1440"/>
      </w:pPr>
      <w:rPr>
        <w:rFonts w:hint="eastAsia"/>
      </w:rPr>
    </w:lvl>
    <w:lvl w:ilvl="6" w:tentative="0">
      <w:start w:val="1"/>
      <w:numFmt w:val="decimal"/>
      <w:isLgl/>
      <w:lvlText w:val="%1.%2.%3.%4.%5.%6.%7."/>
      <w:lvlJc w:val="left"/>
      <w:pPr>
        <w:ind w:left="4320" w:hanging="1800"/>
      </w:pPr>
      <w:rPr>
        <w:rFonts w:hint="eastAsia"/>
      </w:rPr>
    </w:lvl>
    <w:lvl w:ilvl="7" w:tentative="0">
      <w:start w:val="1"/>
      <w:numFmt w:val="decimal"/>
      <w:isLgl/>
      <w:lvlText w:val="%1.%2.%3.%4.%5.%6.%7.%8."/>
      <w:lvlJc w:val="left"/>
      <w:pPr>
        <w:ind w:left="4740" w:hanging="1800"/>
      </w:pPr>
      <w:rPr>
        <w:rFonts w:hint="eastAsia"/>
      </w:rPr>
    </w:lvl>
    <w:lvl w:ilvl="8" w:tentative="0">
      <w:start w:val="1"/>
      <w:numFmt w:val="decimal"/>
      <w:isLgl/>
      <w:lvlText w:val="%1.%2.%3.%4.%5.%6.%7.%8.%9."/>
      <w:lvlJc w:val="left"/>
      <w:pPr>
        <w:ind w:left="5520" w:hanging="21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
  </w:docVar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spacing w:val="-4"/>
      <w:kern w:val="2"/>
      <w:sz w:val="32"/>
      <w:szCs w:val="32"/>
      <w:lang w:val="en-US" w:eastAsia="zh-CN" w:bidi="ar-SA"/>
    </w:rPr>
  </w:style>
  <w:style w:type="paragraph" w:styleId="2">
    <w:name w:val="heading 2"/>
    <w:basedOn w:val="1"/>
    <w:next w:val="1"/>
    <w:unhideWhenUsed/>
    <w:qFormat/>
    <w:uiPriority w:val="9"/>
    <w:pPr>
      <w:keepNext/>
      <w:keepLines/>
      <w:numPr>
        <w:ilvl w:val="1"/>
        <w:numId w:val="1"/>
      </w:numPr>
      <w:spacing w:before="260" w:after="260" w:line="416" w:lineRule="auto"/>
      <w:jc w:val="left"/>
      <w:outlineLvl w:val="1"/>
    </w:pPr>
    <w:rPr>
      <w:rFonts w:ascii="Helvetica Neue" w:hAnsi="Helvetica Neue" w:eastAsia="Helvetica Neue" w:cstheme="majorBidi"/>
      <w:bCs/>
      <w:sz w:val="32"/>
      <w:szCs w:val="32"/>
    </w:rPr>
  </w:style>
  <w:style w:type="paragraph" w:styleId="3">
    <w:name w:val="heading 4"/>
    <w:basedOn w:val="1"/>
    <w:next w:val="1"/>
    <w:qFormat/>
    <w:uiPriority w:val="9"/>
    <w:pPr>
      <w:keepNext/>
      <w:keepLines/>
      <w:spacing w:before="280" w:after="290" w:line="376" w:lineRule="auto"/>
      <w:outlineLvl w:val="3"/>
    </w:pPr>
    <w:rPr>
      <w:rFonts w:ascii="Calibri Light" w:hAnsi="Calibri Light" w:eastAsia="宋体" w:cs="Times New Roman"/>
      <w:b/>
      <w:bCs/>
      <w:sz w:val="28"/>
      <w:szCs w:val="28"/>
    </w:rPr>
  </w:style>
  <w:style w:type="character" w:default="1" w:styleId="9">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0"/>
    <w:pPr>
      <w:spacing w:before="214"/>
    </w:pPr>
    <w:rPr>
      <w:rFonts w:ascii="宋体" w:hAnsi="宋体" w:eastAsia="宋体" w:cs="宋体"/>
      <w:lang w:val="zh-CN"/>
    </w:rPr>
  </w:style>
  <w:style w:type="paragraph" w:styleId="5">
    <w:name w:val="Balloon Text"/>
    <w:basedOn w:val="1"/>
    <w:link w:val="15"/>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rPr>
      <w:sz w:val="24"/>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段"/>
    <w:next w:val="1"/>
    <w:qFormat/>
    <w:uiPriority w:val="0"/>
    <w:pPr>
      <w:autoSpaceDE w:val="0"/>
      <w:autoSpaceDN w:val="0"/>
      <w:spacing w:after="200" w:line="276" w:lineRule="auto"/>
      <w:ind w:firstLine="200" w:firstLineChars="200"/>
      <w:jc w:val="both"/>
    </w:pPr>
    <w:rPr>
      <w:rFonts w:ascii="宋体" w:hAnsi="Times New Roman" w:eastAsia="宋体" w:cs="Times New Roman"/>
      <w:sz w:val="21"/>
      <w:szCs w:val="22"/>
      <w:lang w:val="en-US" w:eastAsia="zh-CN" w:bidi="ar-SA"/>
    </w:rPr>
  </w:style>
  <w:style w:type="character" w:customStyle="1" w:styleId="13">
    <w:name w:val="页眉 字符"/>
    <w:basedOn w:val="9"/>
    <w:link w:val="7"/>
    <w:qFormat/>
    <w:uiPriority w:val="0"/>
    <w:rPr>
      <w:rFonts w:ascii="仿宋_GB2312" w:eastAsia="仿宋_GB2312"/>
      <w:spacing w:val="-4"/>
      <w:kern w:val="2"/>
      <w:sz w:val="18"/>
      <w:szCs w:val="18"/>
    </w:rPr>
  </w:style>
  <w:style w:type="character" w:customStyle="1" w:styleId="14">
    <w:name w:val="页脚 字符"/>
    <w:basedOn w:val="9"/>
    <w:link w:val="6"/>
    <w:qFormat/>
    <w:uiPriority w:val="0"/>
    <w:rPr>
      <w:rFonts w:ascii="仿宋_GB2312" w:eastAsia="仿宋_GB2312"/>
      <w:spacing w:val="-4"/>
      <w:kern w:val="2"/>
      <w:sz w:val="18"/>
      <w:szCs w:val="18"/>
    </w:rPr>
  </w:style>
  <w:style w:type="character" w:customStyle="1" w:styleId="15">
    <w:name w:val="批注框文本 字符"/>
    <w:basedOn w:val="9"/>
    <w:link w:val="5"/>
    <w:qFormat/>
    <w:uiPriority w:val="0"/>
    <w:rPr>
      <w:rFonts w:ascii="仿宋_GB2312" w:eastAsia="仿宋_GB2312"/>
      <w:spacing w:val="-4"/>
      <w:kern w:val="2"/>
      <w:sz w:val="18"/>
      <w:szCs w:val="18"/>
    </w:rPr>
  </w:style>
  <w:style w:type="paragraph" w:customStyle="1" w:styleId="16">
    <w:name w:val="我的正文"/>
    <w:basedOn w:val="1"/>
    <w:qFormat/>
    <w:uiPriority w:val="0"/>
    <w:pPr>
      <w:widowControl w:val="0"/>
    </w:pPr>
    <w:rPr>
      <w:rFonts w:ascii="宋体" w:hAnsi="宋体"/>
    </w:rPr>
  </w:style>
  <w:style w:type="paragraph" w:customStyle="1" w:styleId="17">
    <w:name w:val="我的表格"/>
    <w:basedOn w:val="1"/>
    <w:next w:val="16"/>
    <w:qFormat/>
    <w:uiPriority w:val="0"/>
    <w:pPr>
      <w:widowControl w:val="0"/>
      <w:spacing w:line="240" w:lineRule="auto"/>
      <w:ind w:firstLine="0" w:firstLineChars="0"/>
      <w:jc w:val="center"/>
    </w:pPr>
  </w:style>
  <w:style w:type="paragraph" w:customStyle="1" w:styleId="18">
    <w:name w:val="List Paragraph"/>
    <w:basedOn w:val="1"/>
    <w:qFormat/>
    <w:uiPriority w:val="99"/>
    <w:pPr>
      <w:ind w:firstLine="420" w:firstLineChars="200"/>
    </w:pPr>
  </w:style>
  <w:style w:type="paragraph" w:customStyle="1" w:styleId="19">
    <w:name w:val="Body text|1"/>
    <w:basedOn w:val="1"/>
    <w:qFormat/>
    <w:uiPriority w:val="0"/>
    <w:pPr>
      <w:widowControl w:val="0"/>
      <w:shd w:val="clear" w:color="auto" w:fill="auto"/>
      <w:spacing w:line="420"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9061</Words>
  <Characters>9557</Characters>
  <Lines>31</Lines>
  <Paragraphs>8</Paragraphs>
  <TotalTime>0</TotalTime>
  <ScaleCrop>false</ScaleCrop>
  <LinksUpToDate>false</LinksUpToDate>
  <CharactersWithSpaces>9603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2021-03-28T16:01:00Z</dcterms:created>
  <dc:creator>Administrator.SC-202103091515</dc:creator>
  <cp:lastModifiedBy>iPhone</cp:lastModifiedBy>
  <cp:lastPrinted>2023-06-25T15:15:13Z</cp:lastPrinted>
  <dcterms:modified xsi:type="dcterms:W3CDTF">2023-11-23T17:55:59Z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2052-12.6.0</vt:lpwstr>
  </property>
  <property fmtid="{D5CDD505-2E9C-101B-9397-08002B2CF9AE}" pid="3" name="ICV">
    <vt:lpwstr>766CAF910D104822A06C33FCDA36290C</vt:lpwstr>
  </property>
</Properties>
</file>