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sz w:val="44"/>
          <w:szCs w:val="44"/>
          <w:highlight w:val="none"/>
          <w:shd w:val="clear" w:fill="FFFFFF"/>
          <w:lang w:val="en-US" w:eastAsia="zh-CN"/>
          <w14:textFill>
            <w14:solidFill>
              <w14:schemeClr w14:val="tx1"/>
            </w14:solidFill>
          </w14:textFill>
        </w:rPr>
        <w:t>石城县</w:t>
      </w:r>
      <w:r>
        <w:rPr>
          <w:rFonts w:hint="eastAsia" w:ascii="方正小标宋_GBK" w:hAnsi="方正小标宋_GBK" w:eastAsia="方正小标宋_GBK" w:cs="方正小标宋_GBK"/>
          <w:b w:val="0"/>
          <w:bCs/>
          <w:i w:val="0"/>
          <w:caps w:val="0"/>
          <w:color w:val="000000" w:themeColor="text1"/>
          <w:spacing w:val="0"/>
          <w:sz w:val="44"/>
          <w:szCs w:val="44"/>
          <w:shd w:val="clear" w:fill="FFFFFF"/>
          <w:lang w:val="en-US" w:eastAsia="zh-CN"/>
          <w14:textFill>
            <w14:solidFill>
              <w14:schemeClr w14:val="tx1"/>
            </w14:solidFill>
          </w14:textFill>
        </w:rPr>
        <w:t>2020年</w:t>
      </w:r>
      <w:r>
        <w:rPr>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t>政府信息公开工作年度报告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石城县人民政府办公室</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结合有关统计数据编制。本年度报告中所列数据的统计期限自</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2020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年1月1日起至</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2020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年12月31日止。全文包括总体情况、主动公开政府信息情况、收到和处理政府信息公开申请情况、政府信息公开行政复议行政诉讼情况、存在的主要问题及改进情况、其他需要报告的事项。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caps w:val="0"/>
          <w:color w:val="000000" w:themeColor="text1"/>
          <w:spacing w:val="0"/>
          <w:sz w:val="32"/>
          <w:szCs w:val="32"/>
          <w:lang w:eastAsia="zh-CN"/>
          <w14:textFill>
            <w14:solidFill>
              <w14:schemeClr w14:val="tx1"/>
            </w14:solidFill>
          </w14:textFill>
        </w:rPr>
        <w:t>一、</w:t>
      </w: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总体情况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2020年</w:t>
      </w:r>
      <w:r>
        <w:rPr>
          <w:rFonts w:hint="eastAsia" w:ascii="仿宋_GB2312" w:hAnsi="仿宋_GB2312"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t>石城县</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要求，紧扣国家、省、市政务公开工作要点明确目标任务，紧紧围绕省、市、县中心工作及社会群众关注关切，着力提升政府信息公开质量，推进拓宽政府信息公开渠道，不断增强政府信息公开实效。</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主动公开情况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eastAsia="仿宋_GB2312"/>
          <w:sz w:val="32"/>
          <w:szCs w:val="32"/>
        </w:rPr>
        <w:t>以公开为常态、不公开为例外，紧扣2020年国务院、省、市政务公开工作要点，不断扩大主动公开范围。下发《石城县人民办公室关于印发</w:t>
      </w:r>
      <w:r>
        <w:rPr>
          <w:rFonts w:hint="eastAsia" w:ascii="仿宋_GB2312" w:eastAsia="仿宋_GB2312"/>
          <w:spacing w:val="-2"/>
          <w:sz w:val="32"/>
          <w:szCs w:val="32"/>
        </w:rPr>
        <w:t>石城县</w:t>
      </w:r>
      <w:r>
        <w:rPr>
          <w:rFonts w:ascii="仿宋_GB2312" w:eastAsia="仿宋_GB2312"/>
          <w:spacing w:val="-2"/>
          <w:sz w:val="32"/>
          <w:szCs w:val="32"/>
        </w:rPr>
        <w:t>2020</w:t>
      </w:r>
      <w:r>
        <w:rPr>
          <w:rFonts w:hint="eastAsia" w:ascii="仿宋_GB2312" w:eastAsia="仿宋_GB2312"/>
          <w:spacing w:val="-2"/>
          <w:sz w:val="32"/>
          <w:szCs w:val="32"/>
        </w:rPr>
        <w:t>年政务公开工作实施方案的通知》（〔2020〕62号），</w:t>
      </w:r>
      <w:r>
        <w:rPr>
          <w:rFonts w:hint="eastAsia" w:ascii="仿宋_GB2312" w:eastAsia="仿宋_GB2312"/>
          <w:sz w:val="32"/>
          <w:szCs w:val="32"/>
        </w:rPr>
        <w:t>重点围绕“六稳”“六保”“五型”政府建设、年度重点工作、重大行政决策事项及群众最关心、关注的教育、卫生、医疗等重点领域，特别是新冠肺炎疫情信息，加大公开力度和范围，提高信息获取便捷度和透明度，特别是重大建设项目批准和实施、公共资源配置、社会公益事业建设等重点领域的整合归类力度</w:t>
      </w:r>
      <w:r>
        <w:rPr>
          <w:rFonts w:hint="eastAsia" w:ascii="仿宋_GB2312" w:eastAsia="仿宋_GB2312"/>
          <w:sz w:val="32"/>
          <w:szCs w:val="32"/>
          <w:lang w:eastAsia="zh-CN"/>
        </w:rPr>
        <w:t>，</w:t>
      </w:r>
      <w:r>
        <w:rPr>
          <w:rFonts w:hint="eastAsia" w:ascii="仿宋_GB2312" w:eastAsia="仿宋_GB2312"/>
          <w:sz w:val="32"/>
          <w:szCs w:val="32"/>
          <w:lang w:val="en-US" w:eastAsia="zh-CN"/>
        </w:rPr>
        <w:t>按时公开2019年度部门决算与2020年度部门预算。</w:t>
      </w:r>
      <w:r>
        <w:rPr>
          <w:rFonts w:hint="eastAsia" w:ascii="仿宋_GB2312" w:eastAsia="仿宋_GB2312"/>
          <w:sz w:val="32"/>
          <w:szCs w:val="32"/>
        </w:rPr>
        <w:t>不断丰富政策解读形式、方式，将传统解读方式同政务新媒体、新闻发布会、在线访谈等有机结合，</w:t>
      </w:r>
      <w:r>
        <w:rPr>
          <w:rFonts w:hint="eastAsia" w:ascii="仿宋_GB2312" w:eastAsia="仿宋_GB2312"/>
          <w:sz w:val="32"/>
          <w:szCs w:val="32"/>
          <w:lang w:eastAsia="zh-CN"/>
        </w:rPr>
        <w:t>重点围绕疫情防控、防汛抗旱、禁渔禁捕、生态环境保护等群众关注的热点话题举行</w:t>
      </w:r>
      <w:r>
        <w:rPr>
          <w:rFonts w:hint="eastAsia" w:ascii="仿宋_GB2312" w:eastAsia="仿宋_GB2312"/>
          <w:sz w:val="32"/>
          <w:szCs w:val="32"/>
        </w:rPr>
        <w:t>县政府网站在线访谈</w:t>
      </w:r>
      <w:r>
        <w:rPr>
          <w:rFonts w:hint="eastAsia" w:ascii="仿宋_GB2312" w:eastAsia="仿宋_GB2312"/>
          <w:sz w:val="32"/>
          <w:szCs w:val="32"/>
          <w:lang w:val="en-US" w:eastAsia="zh-CN"/>
        </w:rPr>
        <w:t>7</w:t>
      </w:r>
      <w:r>
        <w:rPr>
          <w:rFonts w:hint="eastAsia" w:ascii="仿宋_GB2312" w:eastAsia="仿宋_GB2312"/>
          <w:sz w:val="32"/>
          <w:szCs w:val="32"/>
        </w:rPr>
        <w:t>期。</w:t>
      </w:r>
      <w:r>
        <w:rPr>
          <w:rFonts w:hint="eastAsia" w:ascii="仿宋_GB2312" w:eastAsia="仿宋_GB2312"/>
          <w:sz w:val="32"/>
          <w:szCs w:val="32"/>
          <w:lang w:eastAsia="zh-CN"/>
        </w:rPr>
        <w:t>全年</w:t>
      </w:r>
      <w:r>
        <w:rPr>
          <w:rFonts w:hint="eastAsia" w:ascii="仿宋_GB2312" w:eastAsia="仿宋_GB2312"/>
          <w:sz w:val="32"/>
          <w:szCs w:val="32"/>
        </w:rPr>
        <w:t>在</w:t>
      </w:r>
      <w:r>
        <w:rPr>
          <w:rFonts w:hint="eastAsia" w:ascii="仿宋_GB2312" w:eastAsia="仿宋_GB2312"/>
          <w:sz w:val="32"/>
          <w:szCs w:val="32"/>
          <w:lang w:eastAsia="zh-CN"/>
        </w:rPr>
        <w:t>县</w:t>
      </w:r>
      <w:r>
        <w:rPr>
          <w:rFonts w:hint="eastAsia" w:ascii="仿宋_GB2312" w:eastAsia="仿宋_GB2312"/>
          <w:sz w:val="32"/>
          <w:szCs w:val="32"/>
        </w:rPr>
        <w:t>政府门户网站累计公开政府信息23</w:t>
      </w:r>
      <w:r>
        <w:rPr>
          <w:rFonts w:hint="eastAsia" w:ascii="仿宋_GB2312" w:eastAsia="仿宋_GB2312"/>
          <w:sz w:val="32"/>
          <w:szCs w:val="32"/>
          <w:lang w:val="en-US" w:eastAsia="zh-CN"/>
        </w:rPr>
        <w:t>156</w:t>
      </w:r>
      <w:r>
        <w:rPr>
          <w:rFonts w:hint="eastAsia" w:ascii="仿宋_GB2312" w:eastAsia="仿宋_GB2312"/>
          <w:sz w:val="32"/>
          <w:szCs w:val="32"/>
        </w:rPr>
        <w:t>条</w:t>
      </w:r>
      <w:r>
        <w:rPr>
          <w:rFonts w:hint="eastAsia" w:ascii="仿宋_GB2312" w:eastAsia="仿宋_GB2312"/>
          <w:sz w:val="32"/>
          <w:szCs w:val="32"/>
          <w:lang w:eastAsia="zh-CN"/>
        </w:rPr>
        <w:t>，</w:t>
      </w:r>
      <w:r>
        <w:rPr>
          <w:rFonts w:hint="eastAsia" w:ascii="仿宋_GB2312" w:eastAsia="仿宋_GB2312"/>
          <w:sz w:val="32"/>
          <w:szCs w:val="32"/>
        </w:rPr>
        <w:t>其中重点领域信息公开</w:t>
      </w:r>
      <w:r>
        <w:rPr>
          <w:rFonts w:hint="eastAsia" w:ascii="仿宋_GB2312" w:eastAsia="仿宋_GB2312"/>
          <w:sz w:val="32"/>
          <w:szCs w:val="32"/>
          <w:lang w:val="en-US" w:eastAsia="zh-CN"/>
        </w:rPr>
        <w:t>682</w:t>
      </w:r>
      <w:r>
        <w:rPr>
          <w:rFonts w:hint="eastAsia" w:ascii="仿宋_GB2312" w:eastAsia="仿宋_GB2312"/>
          <w:sz w:val="32"/>
          <w:szCs w:val="32"/>
        </w:rPr>
        <w:t>条</w:t>
      </w:r>
      <w:r>
        <w:rPr>
          <w:rFonts w:hint="eastAsia" w:ascii="仿宋_GB2312" w:eastAsia="仿宋_GB2312"/>
          <w:sz w:val="32"/>
          <w:szCs w:val="32"/>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依申请公开情况</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jc w:val="left"/>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eastAsia="仿宋_GB2312"/>
          <w:sz w:val="32"/>
          <w:szCs w:val="32"/>
          <w:lang w:val="en-US" w:eastAsia="zh-CN"/>
        </w:rPr>
        <w:t>高度重视依申请公开工作，充分尊重公民、法人或者其他组织申请获取政府信息的权利，建立完善了政府信息公开申请渠道，为申请人依法申请获取政府信息提供便利。</w:t>
      </w:r>
      <w:r>
        <w:rPr>
          <w:rFonts w:hint="eastAsia" w:ascii="仿宋_GB2312" w:eastAsia="仿宋_GB2312"/>
          <w:sz w:val="32"/>
          <w:szCs w:val="32"/>
          <w:lang w:eastAsia="zh-CN"/>
        </w:rPr>
        <w:t>全年</w:t>
      </w:r>
      <w:r>
        <w:rPr>
          <w:rFonts w:hint="eastAsia" w:ascii="仿宋_GB2312" w:eastAsia="仿宋_GB2312"/>
          <w:sz w:val="32"/>
          <w:szCs w:val="32"/>
        </w:rPr>
        <w:t>受理依申请公开信息5件，申请公开信息主要涉及重大行政决策事项、征地补偿安置、义务教育、疫情期间复工复产政策等信息</w:t>
      </w:r>
      <w:r>
        <w:rPr>
          <w:rFonts w:hint="eastAsia" w:ascii="仿宋_GB2312" w:eastAsia="仿宋_GB2312"/>
          <w:sz w:val="32"/>
          <w:szCs w:val="32"/>
          <w:lang w:eastAsia="zh-CN"/>
        </w:rPr>
        <w:t>，</w:t>
      </w:r>
      <w:r>
        <w:rPr>
          <w:rFonts w:hint="eastAsia" w:ascii="仿宋_GB2312" w:hAnsi="Arial" w:eastAsia="仿宋_GB2312" w:cs="Arial"/>
          <w:kern w:val="0"/>
          <w:sz w:val="32"/>
          <w:szCs w:val="32"/>
        </w:rPr>
        <w:t>均严格按照《条例》有关要求按期办理并规范答复</w:t>
      </w:r>
      <w:r>
        <w:rPr>
          <w:rFonts w:hint="eastAsia" w:ascii="仿宋_GB2312" w:hAnsi="Arial" w:eastAsia="仿宋_GB2312" w:cs="Arial"/>
          <w:kern w:val="0"/>
          <w:sz w:val="32"/>
          <w:szCs w:val="32"/>
          <w:lang w:eastAsia="zh-CN"/>
        </w:rPr>
        <w:t>，回复率达</w:t>
      </w:r>
      <w:r>
        <w:rPr>
          <w:rFonts w:hint="eastAsia" w:ascii="仿宋_GB2312" w:hAnsi="Arial" w:eastAsia="仿宋_GB2312" w:cs="Arial"/>
          <w:kern w:val="0"/>
          <w:sz w:val="32"/>
          <w:szCs w:val="32"/>
          <w:lang w:val="en-US" w:eastAsia="zh-CN"/>
        </w:rPr>
        <w:t>100%</w:t>
      </w:r>
      <w:r>
        <w:rPr>
          <w:rFonts w:hint="eastAsia" w:ascii="仿宋_GB2312" w:eastAsia="仿宋_GB2312"/>
          <w:sz w:val="32"/>
          <w:szCs w:val="32"/>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政府信息管理</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进一步规范政府信息发布流程，严格落实“先审后发”，强化网站信息安全管理，严格落实法定节假日及重大活动期间网站24小时值班制度。</w:t>
      </w:r>
      <w:r>
        <w:rPr>
          <w:rFonts w:hint="eastAsia" w:ascii="仿宋_GB2312" w:eastAsia="仿宋_GB2312"/>
          <w:sz w:val="32"/>
          <w:szCs w:val="32"/>
        </w:rPr>
        <w:t>将基层政务公开标准化规范化工作作为政务公开工作重点，高度重视、精心实施，争取财政资金10万元用于基层政务公开标准化规范化暨政务公开平台建设工作，邀请第三方专业机构指导全面梳理编制县乡两级26个试点领域标准化目录，先后多次</w:t>
      </w:r>
      <w:r>
        <w:rPr>
          <w:rFonts w:hint="eastAsia" w:ascii="仿宋_GB2312" w:hAnsi="仿宋" w:eastAsia="仿宋_GB2312" w:cs="仿宋"/>
          <w:sz w:val="32"/>
          <w:szCs w:val="32"/>
        </w:rPr>
        <w:t>组织各乡镇、县城市社区管委会及有关部门对基层政务公开事项开展专题调研，反复论证确认，</w:t>
      </w:r>
      <w:r>
        <w:rPr>
          <w:rFonts w:hint="eastAsia" w:ascii="仿宋_GB2312" w:hAnsi="仿宋" w:eastAsia="仿宋_GB2312" w:cs="仿宋"/>
          <w:sz w:val="32"/>
          <w:szCs w:val="32"/>
          <w:lang w:eastAsia="zh-CN"/>
        </w:rPr>
        <w:t>并</w:t>
      </w:r>
      <w:r>
        <w:rPr>
          <w:rFonts w:hint="eastAsia" w:ascii="仿宋_GB2312" w:eastAsia="仿宋_GB2312"/>
          <w:sz w:val="32"/>
          <w:szCs w:val="32"/>
        </w:rPr>
        <w:t>将该项工作列入县年度目标管理（绩效）考评，</w:t>
      </w:r>
      <w:r>
        <w:rPr>
          <w:rFonts w:hint="eastAsia" w:ascii="仿宋_GB2312" w:eastAsia="仿宋_GB2312"/>
          <w:sz w:val="32"/>
          <w:szCs w:val="32"/>
          <w:lang w:eastAsia="zh-CN"/>
        </w:rPr>
        <w:t>在</w:t>
      </w:r>
      <w:r>
        <w:rPr>
          <w:rFonts w:hint="eastAsia" w:ascii="仿宋_GB2312" w:eastAsia="仿宋_GB2312"/>
          <w:sz w:val="32"/>
          <w:szCs w:val="32"/>
          <w:lang w:val="en-US" w:eastAsia="zh-CN"/>
        </w:rPr>
        <w:t>2020年底前完成26个试点领域目录编制</w:t>
      </w:r>
      <w:r>
        <w:rPr>
          <w:rFonts w:hint="eastAsia" w:ascii="仿宋_GB2312" w:eastAsia="仿宋_GB2312"/>
          <w:sz w:val="32"/>
          <w:szCs w:val="32"/>
        </w:rPr>
        <w:t>并在</w:t>
      </w:r>
      <w:r>
        <w:rPr>
          <w:rFonts w:hint="eastAsia" w:ascii="仿宋_GB2312" w:eastAsia="仿宋_GB2312"/>
          <w:sz w:val="32"/>
          <w:szCs w:val="32"/>
          <w:lang w:eastAsia="zh-CN"/>
        </w:rPr>
        <w:t>县</w:t>
      </w:r>
      <w:r>
        <w:rPr>
          <w:rFonts w:hint="eastAsia" w:ascii="仿宋_GB2312" w:eastAsia="仿宋_GB2312"/>
          <w:sz w:val="32"/>
          <w:szCs w:val="32"/>
        </w:rPr>
        <w:t>政府门户网站</w:t>
      </w:r>
      <w:r>
        <w:rPr>
          <w:rFonts w:hint="eastAsia" w:ascii="仿宋_GB2312" w:eastAsia="仿宋_GB2312"/>
          <w:sz w:val="32"/>
          <w:szCs w:val="32"/>
          <w:lang w:eastAsia="zh-CN"/>
        </w:rPr>
        <w:t>“基层政务公开标准化规范化专题”栏目公开</w:t>
      </w:r>
      <w:r>
        <w:rPr>
          <w:rFonts w:hint="eastAsia" w:ascii="仿宋_GB2312" w:eastAsia="仿宋_GB2312"/>
          <w:sz w:val="32"/>
          <w:szCs w:val="32"/>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平台建设情况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充分发挥</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政府门户网站第一平台作用，围绕“五公开”</w:t>
      </w:r>
      <w:r>
        <w:rPr>
          <w:rFonts w:hint="eastAsia" w:ascii="仿宋_GB2312" w:eastAsia="仿宋_GB2312"/>
          <w:sz w:val="32"/>
          <w:szCs w:val="32"/>
        </w:rPr>
        <w:t>规范设置政府信息公开专栏</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eastAsia="仿宋_GB2312"/>
          <w:sz w:val="32"/>
          <w:szCs w:val="32"/>
        </w:rPr>
        <w:t>争取财政资金68万元</w:t>
      </w:r>
      <w:r>
        <w:rPr>
          <w:rFonts w:hint="eastAsia" w:ascii="仿宋_GB2312" w:eastAsia="仿宋_GB2312"/>
          <w:sz w:val="32"/>
          <w:szCs w:val="32"/>
          <w:lang w:eastAsia="zh-CN"/>
        </w:rPr>
        <w:t>开展</w:t>
      </w:r>
      <w:r>
        <w:rPr>
          <w:rFonts w:hint="eastAsia" w:ascii="仿宋_GB2312" w:eastAsia="仿宋_GB2312"/>
          <w:sz w:val="32"/>
          <w:szCs w:val="32"/>
        </w:rPr>
        <w:t>政务公开平台暨县政府门户网站升级改版工作，</w:t>
      </w:r>
      <w:r>
        <w:rPr>
          <w:rFonts w:hint="eastAsia" w:ascii="仿宋_GB2312" w:eastAsia="仿宋_GB2312"/>
          <w:sz w:val="32"/>
          <w:szCs w:val="32"/>
          <w:lang w:val="en-US" w:eastAsia="zh-CN"/>
        </w:rPr>
        <w:t>2020年</w:t>
      </w:r>
      <w:r>
        <w:rPr>
          <w:rFonts w:hint="eastAsia" w:ascii="仿宋_GB2312" w:eastAsia="仿宋_GB2312"/>
          <w:sz w:val="32"/>
          <w:szCs w:val="32"/>
        </w:rPr>
        <w:t>底基本完成并投入使用</w:t>
      </w:r>
      <w:r>
        <w:rPr>
          <w:rFonts w:hint="eastAsia" w:ascii="仿宋_GB2312" w:eastAsia="仿宋_GB2312"/>
          <w:sz w:val="32"/>
          <w:szCs w:val="32"/>
          <w:lang w:eastAsia="zh-CN"/>
        </w:rPr>
        <w:t>。</w:t>
      </w:r>
      <w:r>
        <w:rPr>
          <w:rFonts w:hint="eastAsia" w:ascii="仿宋_GB2312" w:eastAsia="仿宋_GB2312"/>
          <w:sz w:val="32"/>
          <w:szCs w:val="32"/>
        </w:rPr>
        <w:t>积极配合市大数据管理局做好网站集约化建设工作，</w:t>
      </w:r>
      <w:r>
        <w:rPr>
          <w:rFonts w:hint="eastAsia" w:ascii="仿宋_GB2312" w:eastAsia="仿宋_GB2312"/>
          <w:sz w:val="32"/>
          <w:szCs w:val="32"/>
          <w:lang w:eastAsia="zh-CN"/>
        </w:rPr>
        <w:t>按期</w:t>
      </w:r>
      <w:r>
        <w:rPr>
          <w:rFonts w:hint="eastAsia" w:ascii="仿宋_GB2312" w:eastAsia="仿宋_GB2312"/>
          <w:sz w:val="32"/>
          <w:szCs w:val="32"/>
        </w:rPr>
        <w:t>实现政府网站集约化平台全面支持</w:t>
      </w:r>
      <w:r>
        <w:rPr>
          <w:rFonts w:ascii="仿宋_GB2312" w:eastAsia="仿宋_GB2312"/>
          <w:sz w:val="32"/>
          <w:szCs w:val="32"/>
        </w:rPr>
        <w:t>IPv6</w:t>
      </w:r>
      <w:r>
        <w:rPr>
          <w:rFonts w:hint="eastAsia" w:ascii="仿宋_GB2312" w:eastAsia="仿宋_GB2312"/>
          <w:sz w:val="32"/>
          <w:szCs w:val="32"/>
          <w:lang w:eastAsia="zh-CN"/>
        </w:rPr>
        <w:t>。</w:t>
      </w:r>
      <w:r>
        <w:rPr>
          <w:rFonts w:hint="eastAsia" w:ascii="仿宋_GB2312" w:eastAsia="仿宋_GB2312"/>
          <w:sz w:val="32"/>
          <w:szCs w:val="32"/>
        </w:rPr>
        <w:t>“石城政务”政务新媒体</w:t>
      </w:r>
      <w:r>
        <w:rPr>
          <w:rFonts w:hint="eastAsia" w:ascii="仿宋_GB2312" w:eastAsia="仿宋_GB2312"/>
          <w:sz w:val="32"/>
          <w:szCs w:val="32"/>
          <w:lang w:val="en-US" w:eastAsia="zh-CN"/>
        </w:rPr>
        <w:t>2020年</w:t>
      </w:r>
      <w:r>
        <w:rPr>
          <w:rFonts w:hint="eastAsia" w:ascii="仿宋_GB2312" w:eastAsia="仿宋_GB2312"/>
          <w:sz w:val="32"/>
          <w:szCs w:val="32"/>
        </w:rPr>
        <w:t>发布信息</w:t>
      </w:r>
      <w:r>
        <w:rPr>
          <w:rFonts w:hint="eastAsia" w:ascii="仿宋_GB2312" w:eastAsia="仿宋_GB2312"/>
          <w:sz w:val="32"/>
          <w:szCs w:val="32"/>
          <w:lang w:val="en-US" w:eastAsia="zh-CN"/>
        </w:rPr>
        <w:t>843</w:t>
      </w:r>
      <w:r>
        <w:rPr>
          <w:rFonts w:hint="eastAsia" w:ascii="仿宋_GB2312" w:eastAsia="仿宋_GB2312"/>
          <w:sz w:val="32"/>
          <w:szCs w:val="32"/>
        </w:rPr>
        <w:t>条，其中涉及新冠肺炎疫情及“六稳”“六保”内容3</w:t>
      </w:r>
      <w:r>
        <w:rPr>
          <w:rFonts w:hint="eastAsia" w:ascii="仿宋_GB2312" w:eastAsia="仿宋_GB2312"/>
          <w:sz w:val="32"/>
          <w:szCs w:val="32"/>
          <w:lang w:val="en-US" w:eastAsia="zh-CN"/>
        </w:rPr>
        <w:t>82</w:t>
      </w:r>
      <w:r>
        <w:rPr>
          <w:rFonts w:hint="eastAsia" w:ascii="仿宋_GB2312" w:eastAsia="仿宋_GB2312"/>
          <w:sz w:val="32"/>
          <w:szCs w:val="32"/>
        </w:rPr>
        <w:t>条，占总发布数量的4</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，全年阅读总量达159万次。</w:t>
      </w:r>
      <w:r>
        <w:rPr>
          <w:rFonts w:hint="eastAsia" w:ascii="仿宋_GB2312" w:eastAsia="仿宋_GB2312"/>
          <w:spacing w:val="-2"/>
          <w:sz w:val="32"/>
          <w:szCs w:val="32"/>
        </w:rPr>
        <w:t>深入开展全县政府系统政务新媒体和微信等工作群清理整治专项行动，由清理整治前的314个关停整合至 149个，清理率达47.5%。</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监督保障情况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继续将政府网站内容保障及政务新媒体建设工作以不低于4%的权重纳入县年度目标管理（绩效）考评。以全省政务公开评估指标体系为标准、年度政务公开评估为抓手，将评估指标、整改事项逐一分解到日常公开工作中，强化日常考核监督，倒逼各乡镇、部门和单位不断强化主动公开意识，变被动公开为主动回应。不断完善年度考核及日常监督机制，健全违反政府信息公开规定行为责任追究制度体系，全县未发生责任追究情况</w:t>
      </w:r>
      <w:bookmarkStart w:id="0" w:name="_GoBack"/>
      <w:bookmarkEnd w:id="0"/>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创新采用网络评议、问卷评议等方式，定期组织开展政府信息监督评议。定期、不定期对各乡镇、部门和单位的政务公开情况进行督查。与政务公开第三方评估公司开展合作，定期开展网站测评并限期整改，落实公开事项二十四小时在线指导。邀请专家开展全县政务公开业务培训2次，共计200余人次参加培训。</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二、</w:t>
      </w:r>
      <w:r>
        <w:rPr>
          <w:rFonts w:hint="eastAsia" w:ascii="黑体" w:hAnsi="黑体" w:eastAsia="黑体" w:cs="黑体"/>
          <w:b w:val="0"/>
          <w:bCs/>
          <w:color w:val="000000" w:themeColor="text1"/>
          <w:sz w:val="32"/>
          <w:szCs w:val="32"/>
          <w14:textFill>
            <w14:solidFill>
              <w14:schemeClr w14:val="tx1"/>
            </w14:solidFill>
          </w14:textFill>
        </w:rPr>
        <w:t>主动公开政府信息情况</w:t>
      </w:r>
    </w:p>
    <w:tbl>
      <w:tblPr>
        <w:tblStyle w:val="6"/>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信息内容</w:t>
            </w:r>
          </w:p>
        </w:tc>
        <w:tc>
          <w:tcPr>
            <w:tcW w:w="2460"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本年新制作数量</w:t>
            </w:r>
          </w:p>
        </w:tc>
        <w:tc>
          <w:tcPr>
            <w:tcW w:w="2025"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本年新公开数量</w:t>
            </w:r>
          </w:p>
        </w:tc>
        <w:tc>
          <w:tcPr>
            <w:tcW w:w="2295"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规    章</w:t>
            </w:r>
          </w:p>
        </w:tc>
        <w:tc>
          <w:tcPr>
            <w:tcW w:w="2460"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2025"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c>
          <w:tcPr>
            <w:tcW w:w="2295"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规范性文件</w:t>
            </w:r>
          </w:p>
        </w:tc>
        <w:tc>
          <w:tcPr>
            <w:tcW w:w="2460"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13</w:t>
            </w:r>
          </w:p>
        </w:tc>
        <w:tc>
          <w:tcPr>
            <w:tcW w:w="2025"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13</w:t>
            </w:r>
          </w:p>
        </w:tc>
        <w:tc>
          <w:tcPr>
            <w:tcW w:w="2295"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信息内容</w:t>
            </w:r>
          </w:p>
        </w:tc>
        <w:tc>
          <w:tcPr>
            <w:tcW w:w="2460"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上一年项目数量</w:t>
            </w:r>
          </w:p>
        </w:tc>
        <w:tc>
          <w:tcPr>
            <w:tcW w:w="2025"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本年增/减</w:t>
            </w:r>
          </w:p>
        </w:tc>
        <w:tc>
          <w:tcPr>
            <w:tcW w:w="2295"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行政许可</w:t>
            </w:r>
          </w:p>
        </w:tc>
        <w:tc>
          <w:tcPr>
            <w:tcW w:w="24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color w:val="000000" w:themeColor="text1"/>
                <w:szCs w:val="21"/>
                <w:lang w:val="en-US"/>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240</w:t>
            </w:r>
          </w:p>
        </w:tc>
        <w:tc>
          <w:tcPr>
            <w:tcW w:w="202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1883</w:t>
            </w:r>
            <w:r>
              <w:rPr>
                <w:rFonts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72</w:t>
            </w:r>
          </w:p>
        </w:tc>
        <w:tc>
          <w:tcPr>
            <w:tcW w:w="22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10190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其他对外管理服务事项</w:t>
            </w:r>
          </w:p>
        </w:tc>
        <w:tc>
          <w:tcPr>
            <w:tcW w:w="24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lang w:val="en-US" w:eastAsia="zh-CN"/>
                <w14:textFill>
                  <w14:solidFill>
                    <w14:schemeClr w14:val="tx1"/>
                  </w14:solidFill>
                </w14:textFill>
              </w:rPr>
              <w:t>183</w:t>
            </w:r>
          </w:p>
        </w:tc>
        <w:tc>
          <w:tcPr>
            <w:tcW w:w="202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140/35</w:t>
            </w:r>
          </w:p>
        </w:tc>
        <w:tc>
          <w:tcPr>
            <w:tcW w:w="22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信息内容</w:t>
            </w:r>
          </w:p>
        </w:tc>
        <w:tc>
          <w:tcPr>
            <w:tcW w:w="2460"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上一年项目数量</w:t>
            </w:r>
          </w:p>
        </w:tc>
        <w:tc>
          <w:tcPr>
            <w:tcW w:w="2025"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本年增/减</w:t>
            </w:r>
          </w:p>
        </w:tc>
        <w:tc>
          <w:tcPr>
            <w:tcW w:w="2295"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行政处罚</w:t>
            </w:r>
          </w:p>
        </w:tc>
        <w:tc>
          <w:tcPr>
            <w:tcW w:w="24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宋体" w:eastAsia="仿宋_GB2312" w:cs="宋体"/>
                <w:color w:val="000000" w:themeColor="text1"/>
                <w:kern w:val="0"/>
                <w:sz w:val="20"/>
                <w:szCs w:val="20"/>
                <w:lang w:val="en-US" w:eastAsia="zh-CN"/>
                <w14:textFill>
                  <w14:solidFill>
                    <w14:schemeClr w14:val="tx1"/>
                  </w14:solidFill>
                </w14:textFill>
              </w:rPr>
              <w:t>2973</w:t>
            </w:r>
          </w:p>
        </w:tc>
        <w:tc>
          <w:tcPr>
            <w:tcW w:w="202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120</w:t>
            </w:r>
            <w:r>
              <w:rPr>
                <w:rFonts w:ascii="仿宋_GB2312" w:eastAsia="仿宋_GB2312"/>
                <w:color w:val="000000" w:themeColor="text1"/>
                <w14:textFill>
                  <w14:solidFill>
                    <w14:schemeClr w14:val="tx1"/>
                  </w14:solidFill>
                </w14:textFill>
              </w:rPr>
              <w:t>/1</w:t>
            </w:r>
            <w:r>
              <w:rPr>
                <w:rFonts w:hint="eastAsia" w:ascii="仿宋_GB2312" w:eastAsia="仿宋_GB2312"/>
                <w:color w:val="000000" w:themeColor="text1"/>
                <w:lang w:val="en-US" w:eastAsia="zh-CN"/>
                <w14:textFill>
                  <w14:solidFill>
                    <w14:schemeClr w14:val="tx1"/>
                  </w14:solidFill>
                </w14:textFill>
              </w:rPr>
              <w:t>06</w:t>
            </w:r>
          </w:p>
        </w:tc>
        <w:tc>
          <w:tcPr>
            <w:tcW w:w="22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行政强制</w:t>
            </w:r>
          </w:p>
        </w:tc>
        <w:tc>
          <w:tcPr>
            <w:tcW w:w="24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color w:val="000000" w:themeColor="text1"/>
                <w:szCs w:val="21"/>
                <w:lang w:val="en-US"/>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225</w:t>
            </w:r>
          </w:p>
        </w:tc>
        <w:tc>
          <w:tcPr>
            <w:tcW w:w="202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0/1</w:t>
            </w:r>
          </w:p>
        </w:tc>
        <w:tc>
          <w:tcPr>
            <w:tcW w:w="22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信息内容</w:t>
            </w:r>
          </w:p>
        </w:tc>
        <w:tc>
          <w:tcPr>
            <w:tcW w:w="2460"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上一年项目数量</w:t>
            </w:r>
          </w:p>
        </w:tc>
        <w:tc>
          <w:tcPr>
            <w:tcW w:w="4320" w:type="dxa"/>
            <w:gridSpan w:val="2"/>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行政事业性收费</w:t>
            </w:r>
          </w:p>
        </w:tc>
        <w:tc>
          <w:tcPr>
            <w:tcW w:w="24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color w:val="000000" w:themeColor="text1"/>
                <w:szCs w:val="21"/>
                <w:lang w:val="en-US"/>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38</w:t>
            </w:r>
          </w:p>
        </w:tc>
        <w:tc>
          <w:tcPr>
            <w:tcW w:w="4320" w:type="dxa"/>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eastAsia="仿宋_GB2312" w:cs="宋体"/>
                <w:color w:val="000000" w:themeColor="text1"/>
                <w:kern w:val="0"/>
                <w:sz w:val="20"/>
                <w:szCs w:val="20"/>
                <w:lang w:val="en-US" w:eastAsia="zh-CN"/>
                <w14:textFill>
                  <w14:solidFill>
                    <w14:schemeClr w14:val="tx1"/>
                  </w14:solidFill>
                </w14:textFill>
              </w:rPr>
              <w:t>7</w:t>
            </w:r>
            <w:r>
              <w:rPr>
                <w:rFonts w:ascii="仿宋_GB2312" w:eastAsia="仿宋_GB2312" w:cs="宋体"/>
                <w:color w:val="000000" w:themeColor="text1"/>
                <w:kern w:val="0"/>
                <w:sz w:val="20"/>
                <w:szCs w:val="20"/>
                <w14:textFill>
                  <w14:solidFill>
                    <w14:schemeClr w14:val="tx1"/>
                  </w14:solidFill>
                </w14:textFill>
              </w:rPr>
              <w:t>3</w:t>
            </w:r>
            <w:r>
              <w:rPr>
                <w:rFonts w:hint="eastAsia" w:ascii="仿宋_GB2312" w:eastAsia="仿宋_GB2312" w:cs="宋体"/>
                <w:color w:val="000000" w:themeColor="text1"/>
                <w:kern w:val="0"/>
                <w:sz w:val="20"/>
                <w:szCs w:val="20"/>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信息内容</w:t>
            </w:r>
          </w:p>
        </w:tc>
        <w:tc>
          <w:tcPr>
            <w:tcW w:w="2460"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采购项目数量</w:t>
            </w:r>
          </w:p>
        </w:tc>
        <w:tc>
          <w:tcPr>
            <w:tcW w:w="4320" w:type="dxa"/>
            <w:gridSpan w:val="2"/>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l2br w:val="nil"/>
              <w:tr2bl w:val="nil"/>
            </w:tcBorders>
            <w:shd w:val="clear" w:color="auto" w:fill="auto"/>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政府集中采购</w:t>
            </w:r>
          </w:p>
        </w:tc>
        <w:tc>
          <w:tcPr>
            <w:tcW w:w="2460"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69</w:t>
            </w:r>
          </w:p>
        </w:tc>
        <w:tc>
          <w:tcPr>
            <w:tcW w:w="4320" w:type="dxa"/>
            <w:gridSpan w:val="2"/>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宋体" w:eastAsia="仿宋_GB2312" w:cs="宋体"/>
                <w:color w:val="000000" w:themeColor="text1"/>
                <w:kern w:val="0"/>
                <w:sz w:val="20"/>
                <w:szCs w:val="20"/>
                <w:lang w:val="en-US" w:eastAsia="zh-CN"/>
                <w14:textFill>
                  <w14:solidFill>
                    <w14:schemeClr w14:val="tx1"/>
                  </w14:solidFill>
                </w14:textFill>
              </w:rPr>
              <w:t>8357万</w:t>
            </w:r>
            <w:r>
              <w:rPr>
                <w:rFonts w:hint="eastAsia" w:ascii="仿宋_GB2312" w:hAnsi="宋体" w:eastAsia="仿宋_GB2312" w:cs="宋体"/>
                <w:color w:val="000000" w:themeColor="text1"/>
                <w:kern w:val="0"/>
                <w:sz w:val="20"/>
                <w:szCs w:val="20"/>
                <w14:textFill>
                  <w14:solidFill>
                    <w14:schemeClr w14:val="tx1"/>
                  </w14:solidFill>
                </w14:textFill>
              </w:rPr>
              <w:t>元</w:t>
            </w:r>
          </w:p>
        </w:tc>
      </w:tr>
    </w:tbl>
    <w:p>
      <w:pPr>
        <w:pStyle w:val="5"/>
        <w:shd w:val="clear" w:color="auto" w:fill="FFFFFF"/>
        <w:spacing w:beforeAutospacing="0" w:afterAutospacing="0" w:line="590" w:lineRule="exact"/>
        <w:ind w:firstLine="420"/>
        <w:jc w:val="both"/>
        <w:rPr>
          <w:rFonts w:ascii="黑体" w:hAnsi="黑体" w:eastAsia="黑体" w:cs="方正黑体简体"/>
          <w:color w:val="000000"/>
          <w:sz w:val="32"/>
          <w:szCs w:val="32"/>
        </w:rPr>
      </w:pPr>
      <w:r>
        <w:rPr>
          <w:rFonts w:hint="eastAsia" w:ascii="黑体" w:hAnsi="黑体" w:eastAsia="黑体"/>
          <w:bCs/>
          <w:color w:val="000000"/>
          <w:sz w:val="32"/>
          <w:szCs w:val="32"/>
          <w:shd w:val="clear" w:color="auto" w:fill="FFFFFF"/>
        </w:rPr>
        <w:t>三、</w:t>
      </w:r>
      <w:r>
        <w:rPr>
          <w:rFonts w:hint="eastAsia" w:ascii="黑体" w:hAnsi="黑体" w:eastAsia="黑体" w:cs="方正黑体简体"/>
          <w:bCs/>
          <w:color w:val="000000"/>
          <w:sz w:val="32"/>
          <w:szCs w:val="32"/>
          <w:shd w:val="clear" w:color="auto" w:fill="FFFFFF"/>
        </w:rPr>
        <w:t>收到和处理政府信息公开申请情况</w:t>
      </w:r>
    </w:p>
    <w:tbl>
      <w:tblPr>
        <w:tblStyle w:val="6"/>
        <w:tblW w:w="887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04"/>
        <w:gridCol w:w="855"/>
        <w:gridCol w:w="2089"/>
        <w:gridCol w:w="814"/>
        <w:gridCol w:w="756"/>
        <w:gridCol w:w="756"/>
        <w:gridCol w:w="815"/>
        <w:gridCol w:w="976"/>
        <w:gridCol w:w="713"/>
        <w:gridCol w:w="5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48"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5429"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4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814"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rPr>
              <w:t>自然人</w:t>
            </w:r>
          </w:p>
        </w:tc>
        <w:tc>
          <w:tcPr>
            <w:tcW w:w="4016"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rPr>
              <w:t>法人或其他组织</w:t>
            </w:r>
          </w:p>
        </w:tc>
        <w:tc>
          <w:tcPr>
            <w:tcW w:w="599"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4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814" w:type="dxa"/>
            <w:vMerge w:val="continue"/>
            <w:tcBorders>
              <w:top w:val="nil"/>
              <w:left w:val="nil"/>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rPr>
              <w:t>商业企业</w:t>
            </w: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rPr>
              <w:t>科研机构</w:t>
            </w:r>
          </w:p>
        </w:tc>
        <w:tc>
          <w:tcPr>
            <w:tcW w:w="81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rPr>
              <w:t>社会公益组织</w:t>
            </w:r>
          </w:p>
        </w:tc>
        <w:tc>
          <w:tcPr>
            <w:tcW w:w="97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rPr>
              <w:t>法律服务机构</w:t>
            </w:r>
          </w:p>
        </w:tc>
        <w:tc>
          <w:tcPr>
            <w:tcW w:w="71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rPr>
              <w:t>其他</w:t>
            </w:r>
          </w:p>
        </w:tc>
        <w:tc>
          <w:tcPr>
            <w:tcW w:w="599"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4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一、本年新收政府信息公开申请数量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kern w:val="0"/>
                <w:sz w:val="20"/>
                <w:szCs w:val="20"/>
                <w:lang w:val="en-US" w:eastAsia="zh-CN"/>
              </w:rPr>
              <w:t>5</w:t>
            </w: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599"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4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二、上年结转政府信息公开申请数量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rPr>
              <w:t> 0</w:t>
            </w: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599"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restart"/>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三、本年度办理结果</w:t>
            </w:r>
          </w:p>
        </w:tc>
        <w:tc>
          <w:tcPr>
            <w:tcW w:w="2944"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（一）予以公开</w:t>
            </w:r>
          </w:p>
        </w:tc>
        <w:tc>
          <w:tcPr>
            <w:tcW w:w="814"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kern w:val="0"/>
                <w:sz w:val="20"/>
                <w:szCs w:val="20"/>
                <w:lang w:val="en-US" w:eastAsia="zh-CN"/>
              </w:rPr>
              <w:t>3</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97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71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599"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kern w:val="0"/>
                <w:sz w:val="20"/>
                <w:szCs w:val="20"/>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left"/>
              <w:rPr>
                <w:rFonts w:hint="eastAsia" w:ascii="仿宋_GB2312" w:hAnsi="仿宋_GB2312" w:eastAsia="仿宋_GB2312" w:cs="仿宋_GB2312"/>
                <w:sz w:val="24"/>
                <w:szCs w:val="24"/>
              </w:rPr>
            </w:pPr>
          </w:p>
        </w:tc>
        <w:tc>
          <w:tcPr>
            <w:tcW w:w="2944"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（二）部分公开（区分处理的，只计这一情形，不计其他情形）</w:t>
            </w:r>
          </w:p>
        </w:tc>
        <w:tc>
          <w:tcPr>
            <w:tcW w:w="8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5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left"/>
              <w:rPr>
                <w:rFonts w:hint="eastAsia" w:ascii="仿宋_GB2312" w:hAnsi="仿宋_GB2312" w:eastAsia="仿宋_GB2312" w:cs="仿宋_GB2312"/>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（三）不予公开</w:t>
            </w:r>
          </w:p>
        </w:tc>
        <w:tc>
          <w:tcPr>
            <w:tcW w:w="2089"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1.属于国家秘密</w:t>
            </w:r>
          </w:p>
        </w:tc>
        <w:tc>
          <w:tcPr>
            <w:tcW w:w="814"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599"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left"/>
              <w:rPr>
                <w:rFonts w:hint="eastAsia" w:ascii="仿宋_GB2312" w:hAnsi="仿宋_GB2312" w:eastAsia="仿宋_GB2312" w:cs="仿宋_GB2312"/>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left"/>
              <w:rPr>
                <w:rFonts w:hint="eastAsia" w:ascii="仿宋_GB2312" w:hAnsi="仿宋_GB2312" w:eastAsia="仿宋_GB2312" w:cs="仿宋_GB2312"/>
                <w:sz w:val="24"/>
                <w:szCs w:val="24"/>
              </w:rPr>
            </w:pPr>
          </w:p>
        </w:tc>
        <w:tc>
          <w:tcPr>
            <w:tcW w:w="2089"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2.其他法律行政法规禁止公开</w:t>
            </w:r>
          </w:p>
        </w:tc>
        <w:tc>
          <w:tcPr>
            <w:tcW w:w="814"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left"/>
              <w:rPr>
                <w:rFonts w:hint="eastAsia" w:ascii="仿宋_GB2312" w:hAnsi="仿宋_GB2312" w:eastAsia="仿宋_GB2312" w:cs="仿宋_GB2312"/>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left"/>
              <w:rPr>
                <w:rFonts w:hint="eastAsia" w:ascii="仿宋_GB2312" w:hAnsi="仿宋_GB2312" w:eastAsia="仿宋_GB2312" w:cs="仿宋_GB2312"/>
                <w:sz w:val="24"/>
                <w:szCs w:val="24"/>
              </w:rPr>
            </w:pPr>
          </w:p>
        </w:tc>
        <w:tc>
          <w:tcPr>
            <w:tcW w:w="2089"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3.危及“三安全一稳定”</w:t>
            </w:r>
          </w:p>
        </w:tc>
        <w:tc>
          <w:tcPr>
            <w:tcW w:w="814"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left"/>
              <w:rPr>
                <w:rFonts w:hint="eastAsia" w:ascii="仿宋_GB2312" w:hAnsi="仿宋_GB2312" w:eastAsia="仿宋_GB2312" w:cs="仿宋_GB2312"/>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left"/>
              <w:rPr>
                <w:rFonts w:hint="eastAsia" w:ascii="仿宋_GB2312" w:hAnsi="仿宋_GB2312" w:eastAsia="仿宋_GB2312" w:cs="仿宋_GB2312"/>
                <w:sz w:val="24"/>
                <w:szCs w:val="24"/>
              </w:rPr>
            </w:pPr>
          </w:p>
        </w:tc>
        <w:tc>
          <w:tcPr>
            <w:tcW w:w="2089"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4.保护第三方合法权益</w:t>
            </w:r>
          </w:p>
        </w:tc>
        <w:tc>
          <w:tcPr>
            <w:tcW w:w="814"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left"/>
              <w:rPr>
                <w:rFonts w:hint="eastAsia" w:ascii="仿宋_GB2312" w:hAnsi="仿宋_GB2312" w:eastAsia="仿宋_GB2312" w:cs="仿宋_GB2312"/>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left"/>
              <w:rPr>
                <w:rFonts w:hint="eastAsia" w:ascii="仿宋_GB2312" w:hAnsi="仿宋_GB2312" w:eastAsia="仿宋_GB2312" w:cs="仿宋_GB2312"/>
                <w:sz w:val="24"/>
                <w:szCs w:val="24"/>
              </w:rPr>
            </w:pPr>
          </w:p>
        </w:tc>
        <w:tc>
          <w:tcPr>
            <w:tcW w:w="2089"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5.属于三类内部事务信息</w:t>
            </w:r>
          </w:p>
        </w:tc>
        <w:tc>
          <w:tcPr>
            <w:tcW w:w="814"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left"/>
              <w:rPr>
                <w:rFonts w:hint="eastAsia" w:ascii="仿宋_GB2312" w:hAnsi="仿宋_GB2312" w:eastAsia="仿宋_GB2312" w:cs="仿宋_GB2312"/>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left"/>
              <w:rPr>
                <w:rFonts w:hint="eastAsia" w:ascii="仿宋_GB2312" w:hAnsi="仿宋_GB2312" w:eastAsia="仿宋_GB2312" w:cs="仿宋_GB2312"/>
                <w:sz w:val="24"/>
                <w:szCs w:val="24"/>
              </w:rPr>
            </w:pPr>
          </w:p>
        </w:tc>
        <w:tc>
          <w:tcPr>
            <w:tcW w:w="2089"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6.属于四类过程性信息</w:t>
            </w:r>
          </w:p>
        </w:tc>
        <w:tc>
          <w:tcPr>
            <w:tcW w:w="814"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85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208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7.属于行政执法案卷</w:t>
            </w:r>
          </w:p>
        </w:tc>
        <w:tc>
          <w:tcPr>
            <w:tcW w:w="814" w:type="dxa"/>
            <w:tcBorders>
              <w:top w:val="single" w:color="auto" w:sz="8" w:space="0"/>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single" w:color="auto" w:sz="8" w:space="0"/>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single" w:color="auto" w:sz="8" w:space="0"/>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single" w:color="auto" w:sz="8" w:space="0"/>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single" w:color="auto" w:sz="8" w:space="0"/>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855" w:type="dxa"/>
            <w:vMerge w:val="continue"/>
            <w:tcBorders>
              <w:top w:val="nil"/>
              <w:left w:val="nil"/>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2089"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8.属于行政查询事项</w:t>
            </w:r>
          </w:p>
        </w:tc>
        <w:tc>
          <w:tcPr>
            <w:tcW w:w="814"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855"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（四）无法提供</w:t>
            </w:r>
          </w:p>
        </w:tc>
        <w:tc>
          <w:tcPr>
            <w:tcW w:w="2089"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1.本机关不掌握相关政府信息</w:t>
            </w:r>
          </w:p>
        </w:tc>
        <w:tc>
          <w:tcPr>
            <w:tcW w:w="814"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855" w:type="dxa"/>
            <w:vMerge w:val="continue"/>
            <w:tcBorders>
              <w:top w:val="nil"/>
              <w:left w:val="nil"/>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2089"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2.没有现成信息需要另行制作</w:t>
            </w:r>
          </w:p>
        </w:tc>
        <w:tc>
          <w:tcPr>
            <w:tcW w:w="814"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855" w:type="dxa"/>
            <w:vMerge w:val="continue"/>
            <w:tcBorders>
              <w:top w:val="nil"/>
              <w:left w:val="nil"/>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2089"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3.补正后申请内容仍不明确</w:t>
            </w:r>
          </w:p>
        </w:tc>
        <w:tc>
          <w:tcPr>
            <w:tcW w:w="814"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855"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（五）不予处理</w:t>
            </w:r>
          </w:p>
        </w:tc>
        <w:tc>
          <w:tcPr>
            <w:tcW w:w="2089"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1.信访举报投诉类申请</w:t>
            </w:r>
          </w:p>
        </w:tc>
        <w:tc>
          <w:tcPr>
            <w:tcW w:w="814"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855" w:type="dxa"/>
            <w:vMerge w:val="continue"/>
            <w:tcBorders>
              <w:top w:val="nil"/>
              <w:left w:val="nil"/>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2089"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2.重复申请</w:t>
            </w:r>
          </w:p>
        </w:tc>
        <w:tc>
          <w:tcPr>
            <w:tcW w:w="814"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855" w:type="dxa"/>
            <w:vMerge w:val="continue"/>
            <w:tcBorders>
              <w:top w:val="nil"/>
              <w:left w:val="nil"/>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2089"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3.要求提供公开出版物</w:t>
            </w:r>
          </w:p>
        </w:tc>
        <w:tc>
          <w:tcPr>
            <w:tcW w:w="814"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855" w:type="dxa"/>
            <w:vMerge w:val="continue"/>
            <w:tcBorders>
              <w:top w:val="nil"/>
              <w:left w:val="nil"/>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2089"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4.无正当理由大量反复申请</w:t>
            </w:r>
          </w:p>
        </w:tc>
        <w:tc>
          <w:tcPr>
            <w:tcW w:w="814"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855" w:type="dxa"/>
            <w:vMerge w:val="continue"/>
            <w:tcBorders>
              <w:top w:val="nil"/>
              <w:left w:val="nil"/>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2089"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5.要求行政机关确认或重新出具已获取信息</w:t>
            </w:r>
          </w:p>
        </w:tc>
        <w:tc>
          <w:tcPr>
            <w:tcW w:w="814"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nil"/>
              <w:left w:val="nil"/>
              <w:bottom w:val="single" w:color="auto" w:sz="8" w:space="0"/>
              <w:right w:val="single" w:color="auto" w:sz="8" w:space="0"/>
            </w:tcBorders>
            <w:tcMar>
              <w:left w:w="108" w:type="dxa"/>
              <w:right w:w="108" w:type="dxa"/>
            </w:tcMar>
            <w:vAlign w:val="top"/>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90" w:lineRule="exact"/>
              <w:rPr>
                <w:rFonts w:hint="eastAsia" w:ascii="仿宋_GB2312" w:hAnsi="仿宋_GB2312" w:eastAsia="仿宋_GB2312" w:cs="仿宋_GB2312"/>
                <w:sz w:val="24"/>
                <w:szCs w:val="24"/>
              </w:rPr>
            </w:pPr>
          </w:p>
        </w:tc>
        <w:tc>
          <w:tcPr>
            <w:tcW w:w="2944" w:type="dxa"/>
            <w:gridSpan w:val="2"/>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（六）其他处理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kern w:val="0"/>
                <w:sz w:val="20"/>
                <w:szCs w:val="20"/>
                <w:lang w:val="en-US" w:eastAsia="zh-CN"/>
              </w:rPr>
              <w:t>1</w:t>
            </w: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976"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713"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599" w:type="dxa"/>
            <w:tcBorders>
              <w:top w:val="nil"/>
              <w:left w:val="nil"/>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4"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left"/>
              <w:rPr>
                <w:rFonts w:hint="eastAsia" w:ascii="仿宋_GB2312" w:hAnsi="仿宋_GB2312" w:eastAsia="仿宋_GB2312" w:cs="仿宋_GB2312"/>
                <w:sz w:val="24"/>
                <w:szCs w:val="24"/>
              </w:rPr>
            </w:pPr>
          </w:p>
        </w:tc>
        <w:tc>
          <w:tcPr>
            <w:tcW w:w="2944"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（七）总计</w:t>
            </w:r>
          </w:p>
        </w:tc>
        <w:tc>
          <w:tcPr>
            <w:tcW w:w="814"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kern w:val="0"/>
                <w:sz w:val="20"/>
                <w:szCs w:val="20"/>
                <w:lang w:val="en-US" w:eastAsia="zh-CN"/>
              </w:rPr>
              <w:t>5</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0"/>
                <w:sz w:val="20"/>
                <w:szCs w:val="20"/>
                <w:lang w:val="en-US" w:eastAsia="zh-CN"/>
              </w:rPr>
              <w:t>0</w:t>
            </w:r>
          </w:p>
        </w:tc>
        <w:tc>
          <w:tcPr>
            <w:tcW w:w="599"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kern w:val="0"/>
                <w:sz w:val="20"/>
                <w:szCs w:val="20"/>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48" w:type="dxa"/>
            <w:gridSpan w:val="3"/>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left"/>
              <w:rPr>
                <w:rFonts w:hint="eastAsia" w:ascii="仿宋_GB2312" w:hAnsi="仿宋_GB2312" w:eastAsia="仿宋_GB2312" w:cs="仿宋_GB2312"/>
              </w:rPr>
            </w:pPr>
            <w:r>
              <w:rPr>
                <w:rFonts w:hint="eastAsia" w:ascii="仿宋_GB2312" w:hAnsi="仿宋_GB2312" w:eastAsia="仿宋_GB2312" w:cs="仿宋_GB2312"/>
                <w:kern w:val="0"/>
                <w:sz w:val="20"/>
                <w:szCs w:val="20"/>
              </w:rPr>
              <w:t>四、结转下年度继续办理</w:t>
            </w:r>
          </w:p>
        </w:tc>
        <w:tc>
          <w:tcPr>
            <w:tcW w:w="814"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90" w:lineRule="exact"/>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rPr>
              <w:t>0</w:t>
            </w:r>
          </w:p>
        </w:tc>
        <w:tc>
          <w:tcPr>
            <w:tcW w:w="599" w:type="dxa"/>
            <w:tcBorders>
              <w:top w:val="single" w:color="auto" w:sz="8" w:space="0"/>
              <w:left w:val="single" w:color="auto" w:sz="8" w:space="0"/>
              <w:bottom w:val="single" w:color="auto" w:sz="8" w:space="0"/>
              <w:right w:val="single" w:color="auto" w:sz="8" w:space="0"/>
            </w:tcBorders>
            <w:tcMar>
              <w:left w:w="108" w:type="dxa"/>
              <w:right w:w="108" w:type="dxa"/>
            </w:tcMar>
          </w:tcPr>
          <w:p>
            <w:pPr>
              <w:spacing w:line="5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bl>
    <w:p>
      <w:pPr>
        <w:keepNext w:val="0"/>
        <w:keepLines w:val="0"/>
        <w:pageBreakBefore w:val="0"/>
        <w:numPr>
          <w:ilvl w:val="0"/>
          <w:numId w:val="0"/>
        </w:numPr>
        <w:kinsoku/>
        <w:wordWrap/>
        <w:overflowPunct/>
        <w:topLinePunct w:val="0"/>
        <w:autoSpaceDE/>
        <w:autoSpaceDN/>
        <w:bidi w:val="0"/>
        <w:adjustRightInd/>
        <w:snapToGrid/>
        <w:spacing w:line="570" w:lineRule="exact"/>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四、</w:t>
      </w:r>
      <w:r>
        <w:rPr>
          <w:rFonts w:hint="eastAsia" w:ascii="黑体" w:hAnsi="黑体" w:eastAsia="黑体" w:cs="黑体"/>
          <w:b w:val="0"/>
          <w:bCs/>
          <w:color w:val="000000" w:themeColor="text1"/>
          <w:sz w:val="32"/>
          <w:szCs w:val="32"/>
          <w14:textFill>
            <w14:solidFill>
              <w14:schemeClr w14:val="tx1"/>
            </w14:solidFill>
          </w14:textFill>
        </w:rPr>
        <w:t>政府信息公开行政复议、行政诉讼情况</w:t>
      </w:r>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行政复议</w:t>
            </w:r>
            <w:r>
              <w:rPr>
                <w:rFonts w:hint="eastAsia" w:ascii="仿宋_GB2312" w:hAnsi="仿宋_GB2312" w:eastAsia="仿宋_GB2312" w:cs="仿宋_GB2312"/>
                <w:color w:val="000000" w:themeColor="text1"/>
                <w:sz w:val="24"/>
                <w14:textFill>
                  <w14:solidFill>
                    <w14:schemeClr w14:val="tx1"/>
                  </w14:solidFill>
                </w14:textFill>
              </w:rPr>
              <w:br w:type="textWrapping"/>
            </w:r>
            <w:r>
              <w:rPr>
                <w:rFonts w:hint="eastAsia" w:ascii="仿宋_GB2312" w:hAnsi="仿宋_GB2312" w:eastAsia="仿宋_GB2312" w:cs="仿宋_GB2312"/>
                <w:b/>
                <w:color w:val="000000" w:themeColor="text1"/>
                <w:sz w:val="24"/>
                <w14:textFill>
                  <w14:solidFill>
                    <w14:schemeClr w14:val="tx1"/>
                  </w14:solidFill>
                </w14:textFill>
              </w:rPr>
              <w:t>（因政府信息公开被行政复议）</w:t>
            </w:r>
          </w:p>
        </w:tc>
        <w:tc>
          <w:tcPr>
            <w:tcW w:w="6088" w:type="dxa"/>
            <w:gridSpan w:val="10"/>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行政诉讼</w:t>
            </w:r>
            <w:r>
              <w:rPr>
                <w:rFonts w:hint="eastAsia" w:ascii="仿宋_GB2312" w:hAnsi="仿宋_GB2312" w:eastAsia="仿宋_GB2312" w:cs="仿宋_GB2312"/>
                <w:color w:val="000000" w:themeColor="text1"/>
                <w:sz w:val="24"/>
                <w14:textFill>
                  <w14:solidFill>
                    <w14:schemeClr w14:val="tx1"/>
                  </w14:solidFill>
                </w14:textFill>
              </w:rPr>
              <w:br w:type="textWrapping"/>
            </w:r>
            <w:r>
              <w:rPr>
                <w:rFonts w:hint="eastAsia" w:ascii="仿宋_GB2312" w:hAnsi="仿宋_GB2312" w:eastAsia="仿宋_GB2312" w:cs="仿宋_GB2312"/>
                <w:b/>
                <w:color w:val="000000" w:themeColor="text1"/>
                <w:sz w:val="24"/>
                <w14:textFill>
                  <w14:solidFill>
                    <w14:schemeClr w14:val="tx1"/>
                  </w14:solidFill>
                </w14:textFill>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结果维护</w:t>
            </w:r>
          </w:p>
        </w:tc>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结果纠正</w:t>
            </w:r>
          </w:p>
        </w:tc>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其他结果</w:t>
            </w:r>
          </w:p>
        </w:tc>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尚未审结</w:t>
            </w:r>
          </w:p>
        </w:tc>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总计</w:t>
            </w:r>
          </w:p>
        </w:tc>
        <w:tc>
          <w:tcPr>
            <w:tcW w:w="2840" w:type="dxa"/>
            <w:gridSpan w:val="5"/>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shd w:val="clear" w:color="auto" w:fill="FFFFFF"/>
                <w14:textFill>
                  <w14:solidFill>
                    <w14:schemeClr w14:val="tx1"/>
                  </w14:solidFill>
                </w14:textFill>
              </w:rPr>
              <w:t>未经复议直接起诉</w:t>
            </w:r>
          </w:p>
        </w:tc>
        <w:tc>
          <w:tcPr>
            <w:tcW w:w="3248" w:type="dxa"/>
            <w:gridSpan w:val="5"/>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结果维护</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结果纠正</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其他结果</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尚未审结</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总计</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结果维护</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结果纠正</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其他结果</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尚未审结</w:t>
            </w:r>
          </w:p>
        </w:tc>
        <w:tc>
          <w:tcPr>
            <w:tcW w:w="976" w:type="dxa"/>
            <w:shd w:val="clear" w:color="auto" w:fill="auto"/>
            <w:vAlign w:val="center"/>
          </w:tcPr>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c>
          <w:tcPr>
            <w:tcW w:w="976" w:type="dxa"/>
            <w:shd w:val="clear" w:color="auto" w:fill="auto"/>
          </w:tcPr>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五、存在的主要问题及改进情况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eastAsia="仿宋_GB2312"/>
          <w:sz w:val="32"/>
          <w:szCs w:val="32"/>
        </w:rPr>
      </w:pPr>
      <w:r>
        <w:rPr>
          <w:rFonts w:hint="eastAsia" w:ascii="楷体_GB2312" w:hAnsi="楷体_GB2312" w:eastAsia="楷体_GB2312" w:cs="楷体_GB2312"/>
          <w:sz w:val="32"/>
          <w:szCs w:val="32"/>
          <w:lang w:eastAsia="zh-CN"/>
        </w:rPr>
        <w:t>（一）存在问题：</w:t>
      </w:r>
      <w:r>
        <w:rPr>
          <w:rFonts w:hint="eastAsia" w:ascii="仿宋_GB2312" w:eastAsia="仿宋_GB2312"/>
          <w:sz w:val="32"/>
          <w:szCs w:val="32"/>
        </w:rPr>
        <w:t>一是政务公开工作水平有待</w:t>
      </w:r>
      <w:r>
        <w:rPr>
          <w:rFonts w:hint="eastAsia" w:ascii="仿宋_GB2312" w:eastAsia="仿宋_GB2312"/>
          <w:sz w:val="32"/>
          <w:szCs w:val="32"/>
          <w:lang w:eastAsia="zh-CN"/>
        </w:rPr>
        <w:t>提升</w:t>
      </w:r>
      <w:r>
        <w:rPr>
          <w:rFonts w:hint="eastAsia" w:ascii="仿宋_GB2312" w:eastAsia="仿宋_GB2312"/>
          <w:sz w:val="32"/>
          <w:szCs w:val="32"/>
        </w:rPr>
        <w:t>。随着对政务公开工作要求的不断提高，与先进省、市相比，</w:t>
      </w:r>
      <w:r>
        <w:rPr>
          <w:rFonts w:hint="eastAsia" w:ascii="仿宋_GB2312" w:eastAsia="仿宋_GB2312"/>
          <w:sz w:val="32"/>
          <w:szCs w:val="32"/>
          <w:lang w:eastAsia="zh-CN"/>
        </w:rPr>
        <w:t>同时</w:t>
      </w:r>
      <w:r>
        <w:rPr>
          <w:rFonts w:hint="eastAsia" w:ascii="仿宋_GB2312" w:eastAsia="仿宋_GB2312"/>
          <w:sz w:val="32"/>
          <w:szCs w:val="32"/>
        </w:rPr>
        <w:t>对照政务公开评估指标体系，</w:t>
      </w:r>
      <w:r>
        <w:rPr>
          <w:rFonts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对部分涉及公众利益调整、需要公众广泛知晓或者需要公众参与决策的政府信息</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公开</w:t>
      </w:r>
      <w:r>
        <w:rPr>
          <w:rFonts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不够</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全面。</w:t>
      </w:r>
      <w:r>
        <w:rPr>
          <w:rFonts w:hint="eastAsia" w:ascii="仿宋_GB2312" w:eastAsia="仿宋_GB2312"/>
          <w:sz w:val="32"/>
          <w:szCs w:val="32"/>
        </w:rPr>
        <w:t>仍存差距；二是政务公开专业队伍有待加强。政府信息公开工作量大、工作要求高，对工作人员业务水平要求较高，目前全县政务公开工作人员素质参差不齐，专业水平有待提升；三是政策解读仍存短板。</w:t>
      </w:r>
      <w:r>
        <w:rPr>
          <w:rFonts w:hint="eastAsia" w:ascii="仿宋_GB2312" w:eastAsia="仿宋_GB2312"/>
          <w:sz w:val="32"/>
          <w:szCs w:val="32"/>
          <w:lang w:eastAsia="zh-CN"/>
        </w:rPr>
        <w:t>涉及</w:t>
      </w:r>
      <w:r>
        <w:rPr>
          <w:rFonts w:hint="eastAsia" w:ascii="仿宋_GB2312" w:eastAsia="仿宋_GB2312"/>
          <w:sz w:val="32"/>
          <w:szCs w:val="32"/>
        </w:rPr>
        <w:t>重大政策解读、</w:t>
      </w:r>
      <w:r>
        <w:rPr>
          <w:rFonts w:hint="eastAsia" w:ascii="仿宋_GB2312" w:eastAsia="仿宋_GB2312"/>
          <w:sz w:val="32"/>
          <w:szCs w:val="32"/>
          <w:lang w:eastAsia="zh-CN"/>
        </w:rPr>
        <w:t>主动</w:t>
      </w:r>
      <w:r>
        <w:rPr>
          <w:rFonts w:hint="eastAsia" w:ascii="仿宋_GB2312" w:eastAsia="仿宋_GB2312"/>
          <w:sz w:val="32"/>
          <w:szCs w:val="32"/>
        </w:rPr>
        <w:t>回应</w:t>
      </w:r>
      <w:r>
        <w:rPr>
          <w:rFonts w:hint="eastAsia" w:ascii="仿宋_GB2312" w:eastAsia="仿宋_GB2312"/>
          <w:sz w:val="32"/>
          <w:szCs w:val="32"/>
          <w:lang w:eastAsia="zh-CN"/>
        </w:rPr>
        <w:t>群众</w:t>
      </w:r>
      <w:r>
        <w:rPr>
          <w:rFonts w:hint="eastAsia" w:ascii="仿宋_GB2312" w:eastAsia="仿宋_GB2312"/>
          <w:sz w:val="32"/>
          <w:szCs w:val="32"/>
        </w:rPr>
        <w:t>关切</w:t>
      </w:r>
      <w:r>
        <w:rPr>
          <w:rFonts w:hint="eastAsia" w:ascii="仿宋_GB2312" w:eastAsia="仿宋_GB2312"/>
          <w:sz w:val="32"/>
          <w:szCs w:val="32"/>
          <w:lang w:eastAsia="zh-CN"/>
        </w:rPr>
        <w:t>的主动性还不够</w:t>
      </w:r>
      <w:r>
        <w:rPr>
          <w:rFonts w:hint="eastAsia" w:ascii="仿宋_GB2312" w:eastAsia="仿宋_GB2312"/>
          <w:sz w:val="32"/>
          <w:szCs w:val="32"/>
        </w:rPr>
        <w:t>，对出台的</w:t>
      </w:r>
      <w:r>
        <w:rPr>
          <w:rFonts w:hint="eastAsia" w:ascii="仿宋_GB2312" w:eastAsia="仿宋_GB2312"/>
          <w:sz w:val="32"/>
          <w:szCs w:val="32"/>
          <w:lang w:eastAsia="zh-CN"/>
        </w:rPr>
        <w:t>重要</w:t>
      </w:r>
      <w:r>
        <w:rPr>
          <w:rFonts w:hint="eastAsia" w:ascii="仿宋_GB2312" w:eastAsia="仿宋_GB2312"/>
          <w:sz w:val="32"/>
          <w:szCs w:val="32"/>
        </w:rPr>
        <w:t>政策文件和民生措施</w:t>
      </w:r>
      <w:r>
        <w:rPr>
          <w:rFonts w:hint="eastAsia" w:ascii="仿宋_GB2312" w:eastAsia="仿宋_GB2312"/>
          <w:sz w:val="32"/>
          <w:szCs w:val="32"/>
          <w:lang w:eastAsia="zh-CN"/>
        </w:rPr>
        <w:t>的配套</w:t>
      </w:r>
      <w:r>
        <w:rPr>
          <w:rFonts w:hint="eastAsia" w:ascii="仿宋_GB2312" w:eastAsia="仿宋_GB2312"/>
          <w:sz w:val="32"/>
          <w:szCs w:val="32"/>
        </w:rPr>
        <w:t>解读形式不够丰富。</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eastAsia="仿宋_GB2312"/>
          <w:lang w:eastAsia="zh-CN"/>
        </w:rPr>
      </w:pPr>
      <w:r>
        <w:rPr>
          <w:rFonts w:hint="eastAsia" w:ascii="楷体_GB2312" w:hAnsi="楷体_GB2312" w:eastAsia="楷体_GB2312" w:cs="楷体_GB2312"/>
          <w:sz w:val="32"/>
          <w:szCs w:val="32"/>
          <w:lang w:eastAsia="zh-CN"/>
        </w:rPr>
        <w:t>（二）改进情况：</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不断</w:t>
      </w:r>
      <w:r>
        <w:rPr>
          <w:rFonts w:hint="eastAsia" w:ascii="仿宋_GB2312" w:hAnsi="仿宋_GB2312" w:eastAsia="仿宋_GB2312" w:cs="仿宋_GB2312"/>
          <w:kern w:val="0"/>
          <w:sz w:val="32"/>
          <w:szCs w:val="32"/>
        </w:rPr>
        <w:t>强化主动公开内容保障。</w:t>
      </w:r>
      <w:r>
        <w:rPr>
          <w:rFonts w:hint="eastAsia" w:ascii="仿宋_GB2312" w:eastAsia="仿宋_GB2312"/>
          <w:sz w:val="32"/>
          <w:szCs w:val="32"/>
        </w:rPr>
        <w:t>高度重视上级有关政务公开的各项决策部署，认真贯彻落实国家、省、市明年政务公开工作要点，做到压力层层传导、工作层层部署、责任层层到位。加大重大行政决策公开力度，丰富政策解读形式，拓宽解读渠道</w:t>
      </w:r>
      <w:r>
        <w:rPr>
          <w:rFonts w:hint="eastAsia" w:ascii="仿宋_GB2312" w:eastAsia="仿宋_GB2312"/>
          <w:sz w:val="32"/>
          <w:szCs w:val="32"/>
          <w:lang w:eastAsia="zh-CN"/>
        </w:rPr>
        <w:t>，</w:t>
      </w:r>
      <w:r>
        <w:rPr>
          <w:rFonts w:hint="eastAsia" w:ascii="仿宋_GB2312" w:eastAsia="仿宋_GB2312"/>
          <w:sz w:val="32"/>
          <w:szCs w:val="32"/>
        </w:rPr>
        <w:t>增强信息发布的亲和力、影响力</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创新提升政务公开水平。</w:t>
      </w:r>
      <w:r>
        <w:rPr>
          <w:rFonts w:hint="eastAsia" w:ascii="仿宋_GB2312" w:eastAsia="仿宋_GB2312"/>
          <w:sz w:val="32"/>
          <w:szCs w:val="32"/>
        </w:rPr>
        <w:t>围绕新时代政务公开工作要求，对标先进县市，以努力打造人民群众满意的政府网站为目标、以基层政务公开标准化规范化建设为契机，不断创新优化政府网站栏目设置，升级便捷服务群众功能。严格对照上级考核要求，</w:t>
      </w:r>
      <w:r>
        <w:rPr>
          <w:rFonts w:hint="eastAsia" w:ascii="仿宋_GB2312" w:hAnsi="宋体" w:eastAsia="仿宋_GB2312" w:cs="宋体"/>
          <w:kern w:val="0"/>
          <w:sz w:val="32"/>
          <w:szCs w:val="32"/>
        </w:rPr>
        <w:t>实行更严格、更精细的考核评价机制，</w:t>
      </w:r>
      <w:r>
        <w:rPr>
          <w:rFonts w:hint="eastAsia" w:ascii="仿宋_GB2312" w:eastAsia="仿宋_GB2312"/>
          <w:sz w:val="32"/>
          <w:szCs w:val="32"/>
        </w:rPr>
        <w:t>强化专业队伍建设及业务知识培训，努力打造一支素质高、能力强的政务公开队伍。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本年度报告的电子版可以从</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石城县</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人民政府网站</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w:t>
      </w:r>
      <w:r>
        <w:rPr>
          <w:rFonts w:ascii="仿宋_GB2312" w:hAnsi="Arial" w:eastAsia="仿宋_GB2312" w:cs="Arial"/>
          <w:color w:val="000000" w:themeColor="text1"/>
          <w:kern w:val="0"/>
          <w:sz w:val="32"/>
          <w:szCs w:val="32"/>
          <w14:textFill>
            <w14:solidFill>
              <w14:schemeClr w14:val="tx1"/>
            </w14:solidFill>
          </w14:textFill>
        </w:rPr>
        <w:t>www.shicheng.gov.cn</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下载。如对本报告有任何疑问，请与</w:t>
      </w:r>
      <w:r>
        <w:rPr>
          <w:rFonts w:hint="eastAsia" w:ascii="仿宋_GB2312" w:hAnsi="Arial" w:eastAsia="仿宋_GB2312" w:cs="Arial"/>
          <w:color w:val="000000" w:themeColor="text1"/>
          <w:kern w:val="0"/>
          <w:sz w:val="32"/>
          <w:szCs w:val="32"/>
          <w14:textFill>
            <w14:solidFill>
              <w14:schemeClr w14:val="tx1"/>
            </w14:solidFill>
          </w14:textFill>
        </w:rPr>
        <w:t>石城县人民政府办公室信息</w:t>
      </w:r>
      <w:r>
        <w:rPr>
          <w:rFonts w:hint="eastAsia" w:ascii="仿宋_GB2312" w:hAnsi="Arial" w:eastAsia="仿宋_GB2312" w:cs="Arial"/>
          <w:color w:val="000000" w:themeColor="text1"/>
          <w:kern w:val="0"/>
          <w:sz w:val="32"/>
          <w:szCs w:val="32"/>
          <w:lang w:eastAsia="zh-CN"/>
          <w14:textFill>
            <w14:solidFill>
              <w14:schemeClr w14:val="tx1"/>
            </w14:solidFill>
          </w14:textFill>
        </w:rPr>
        <w:t>股</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联系（地址：</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石城县行政中心</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，电话：</w:t>
      </w:r>
      <w:r>
        <w:rPr>
          <w:rFonts w:ascii="仿宋_GB2312" w:hAnsi="Arial" w:eastAsia="仿宋_GB2312" w:cs="Arial"/>
          <w:color w:val="000000" w:themeColor="text1"/>
          <w:kern w:val="0"/>
          <w:sz w:val="32"/>
          <w:szCs w:val="32"/>
          <w14:textFill>
            <w14:solidFill>
              <w14:schemeClr w14:val="tx1"/>
            </w14:solidFill>
          </w14:textFill>
        </w:rPr>
        <w:t>0797-5790056</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，邮编：</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342700</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p>
    <w:sectPr>
      <w:pgSz w:w="11906" w:h="16838"/>
      <w:pgMar w:top="2098" w:right="1587" w:bottom="2098"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86"/>
    <w:family w:val="auto"/>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FreeSerif">
    <w:panose1 w:val="02020603050405020304"/>
    <w:charset w:val="00"/>
    <w:family w:val="auto"/>
    <w:pitch w:val="default"/>
    <w:sig w:usb0="E59FAFFF" w:usb1="C200FDFF" w:usb2="43501B29" w:usb3="04000043" w:csb0="6001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F45C3"/>
    <w:multiLevelType w:val="singleLevel"/>
    <w:tmpl w:val="128F45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F42566A"/>
    <w:rsid w:val="0F7594A7"/>
    <w:rsid w:val="0FE32618"/>
    <w:rsid w:val="17534F7D"/>
    <w:rsid w:val="1B931963"/>
    <w:rsid w:val="1EFFCAC4"/>
    <w:rsid w:val="23B06487"/>
    <w:rsid w:val="2480713E"/>
    <w:rsid w:val="2DF74276"/>
    <w:rsid w:val="33FAC702"/>
    <w:rsid w:val="367F8D73"/>
    <w:rsid w:val="3B7F3184"/>
    <w:rsid w:val="3E3658BA"/>
    <w:rsid w:val="3FD77C40"/>
    <w:rsid w:val="3FEBB806"/>
    <w:rsid w:val="49F773F7"/>
    <w:rsid w:val="4FAA220A"/>
    <w:rsid w:val="519D4381"/>
    <w:rsid w:val="566E50F8"/>
    <w:rsid w:val="56857A37"/>
    <w:rsid w:val="57BE65D2"/>
    <w:rsid w:val="57FEEC70"/>
    <w:rsid w:val="5AFB88A3"/>
    <w:rsid w:val="5FB2E971"/>
    <w:rsid w:val="5FB78C32"/>
    <w:rsid w:val="5FBD921A"/>
    <w:rsid w:val="5FCE6A83"/>
    <w:rsid w:val="5FDC6A1D"/>
    <w:rsid w:val="5FEB0FB0"/>
    <w:rsid w:val="5FFC215E"/>
    <w:rsid w:val="62CF8BDC"/>
    <w:rsid w:val="67BBB35F"/>
    <w:rsid w:val="6D1DF5D7"/>
    <w:rsid w:val="6EB526D3"/>
    <w:rsid w:val="6EC41F3F"/>
    <w:rsid w:val="6F5EF5DD"/>
    <w:rsid w:val="6FCF3F42"/>
    <w:rsid w:val="6FED234E"/>
    <w:rsid w:val="762E45CB"/>
    <w:rsid w:val="7677B4B0"/>
    <w:rsid w:val="77DB0558"/>
    <w:rsid w:val="77DB6011"/>
    <w:rsid w:val="77FF055B"/>
    <w:rsid w:val="7B440FF1"/>
    <w:rsid w:val="7B6F9F89"/>
    <w:rsid w:val="7BB7414C"/>
    <w:rsid w:val="7BBD3368"/>
    <w:rsid w:val="7BDD7095"/>
    <w:rsid w:val="7BFFE01A"/>
    <w:rsid w:val="7D3EDB6A"/>
    <w:rsid w:val="7D7C7DE7"/>
    <w:rsid w:val="7DEE94DF"/>
    <w:rsid w:val="7E5F7FFA"/>
    <w:rsid w:val="7EDBD7DA"/>
    <w:rsid w:val="7F9A41E8"/>
    <w:rsid w:val="7FBDA343"/>
    <w:rsid w:val="7FEFF6C3"/>
    <w:rsid w:val="7FF758CB"/>
    <w:rsid w:val="7FFA836A"/>
    <w:rsid w:val="7FFF0138"/>
    <w:rsid w:val="7FFF7F8E"/>
    <w:rsid w:val="9BE98AE7"/>
    <w:rsid w:val="9EE7E841"/>
    <w:rsid w:val="AC1FB5DB"/>
    <w:rsid w:val="B79C39CC"/>
    <w:rsid w:val="B7D6ED97"/>
    <w:rsid w:val="BCE3BB84"/>
    <w:rsid w:val="BFFFF62D"/>
    <w:rsid w:val="C7737D1D"/>
    <w:rsid w:val="D7F7E6F2"/>
    <w:rsid w:val="D9C165CD"/>
    <w:rsid w:val="DABF6E72"/>
    <w:rsid w:val="DBD7EE54"/>
    <w:rsid w:val="DD37A8EB"/>
    <w:rsid w:val="E87E3EC8"/>
    <w:rsid w:val="EFFFCA26"/>
    <w:rsid w:val="F3BFD31D"/>
    <w:rsid w:val="F5136ECA"/>
    <w:rsid w:val="F9F3A7F0"/>
    <w:rsid w:val="FBDF66F7"/>
    <w:rsid w:val="FCBFACFD"/>
    <w:rsid w:val="FDFFC708"/>
    <w:rsid w:val="FE37F0AC"/>
    <w:rsid w:val="FECF3F12"/>
    <w:rsid w:val="FFBFF11A"/>
    <w:rsid w:val="FFCB30AA"/>
    <w:rsid w:val="FFF63482"/>
    <w:rsid w:val="FFFB3E87"/>
    <w:rsid w:val="FFFC4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420" w:leftChars="200"/>
    </w:p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2021-01-08T09:14:00Z</dcterms:created>
  <dc:creator>Administrator</dc:creator>
  <cp:lastModifiedBy>user</cp:lastModifiedBy>
  <dcterms:modified xsi:type="dcterms:W3CDTF">2021-05-10T16:31:02Z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