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石城县民政局2020年</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民政局</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结合有关统计数据编制。本年度报告中所列数据的统计期限自</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年1月1日起至</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2020</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人民政府网站（</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政府信息公开年报</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）下载。如对本报告有任何疑问，请与</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石城县民政局</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联系（地址：</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石城县东城南大道568号</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，电话：</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5792280</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，邮编：</w:t>
      </w:r>
      <w:r>
        <w:rPr>
          <w:rFonts w:hint="eastAsia" w:ascii="仿宋_GB2312" w:hAnsi="仿宋_GB2312" w:eastAsia="仿宋_GB2312" w:cs="仿宋_GB2312"/>
          <w:i w:val="0"/>
          <w:caps w:val="0"/>
          <w:color w:val="000000" w:themeColor="text1"/>
          <w:spacing w:val="0"/>
          <w:sz w:val="32"/>
          <w:szCs w:val="32"/>
          <w:highlight w:val="none"/>
          <w:lang w:val="en-US" w:eastAsia="zh-CN"/>
          <w14:textFill>
            <w14:solidFill>
              <w14:schemeClr w14:val="tx1"/>
            </w14:solidFill>
          </w14:textFill>
        </w:rPr>
        <w:t>342700</w:t>
      </w:r>
      <w:r>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t>）。</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highlight w:val="none"/>
          <w:shd w:val="clear" w:fill="FFFFFF"/>
          <w:lang w:val="en-US" w:eastAsia="zh-CN"/>
        </w:rPr>
        <w:t>年民政局</w:t>
      </w:r>
      <w:r>
        <w:rPr>
          <w:rFonts w:hint="eastAsia" w:ascii="仿宋_GB2312" w:hAnsi="仿宋_GB2312" w:eastAsia="仿宋_GB2312" w:cs="仿宋_GB2312"/>
          <w:i w:val="0"/>
          <w:caps w:val="0"/>
          <w:color w:val="333333"/>
          <w:spacing w:val="0"/>
          <w:sz w:val="32"/>
          <w:szCs w:val="32"/>
          <w:shd w:val="clear" w:fill="FFFFFF"/>
          <w:lang w:val="en-US" w:eastAsia="zh-CN"/>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w:t>
      </w:r>
      <w:r>
        <w:rPr>
          <w:rFonts w:hint="eastAsia" w:ascii="仿宋_GB2312" w:hAnsi="仿宋_GB2312" w:eastAsia="仿宋_GB2312" w:cs="仿宋_GB2312"/>
          <w:i w:val="0"/>
          <w:caps w:val="0"/>
          <w:color w:val="333333"/>
          <w:spacing w:val="0"/>
          <w:sz w:val="32"/>
          <w:szCs w:val="32"/>
          <w:highlight w:val="none"/>
          <w:shd w:val="clear" w:fill="FFFFFF"/>
          <w:lang w:val="en-US" w:eastAsia="zh-CN"/>
        </w:rPr>
        <w:t>对《关于印发石城县全面推进基层政务公开标准化规范化工作实施方案的通知》和《关于印发石城县2020年政务公开工作实施方案的通知》</w:t>
      </w:r>
      <w:r>
        <w:rPr>
          <w:rFonts w:hint="eastAsia" w:ascii="仿宋_GB2312" w:hAnsi="仿宋_GB2312" w:eastAsia="仿宋_GB2312" w:cs="仿宋_GB2312"/>
          <w:i w:val="0"/>
          <w:caps w:val="0"/>
          <w:color w:val="333333"/>
          <w:spacing w:val="0"/>
          <w:sz w:val="32"/>
          <w:szCs w:val="32"/>
          <w:shd w:val="clear" w:fill="FFFFFF"/>
          <w:lang w:val="en-US" w:eastAsia="zh-CN"/>
        </w:rPr>
        <w:t>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决策公开（重大行政决策法定程序、重大决策预公开制度、意见征集形式）</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管理公开（权责清单、</w:t>
      </w:r>
      <w:r>
        <w:rPr>
          <w:rFonts w:hint="eastAsia" w:ascii="仿宋_GB2312" w:hAnsi="仿宋_GB2312" w:eastAsia="仿宋_GB2312" w:cs="仿宋_GB2312"/>
          <w:i w:val="0"/>
          <w:caps w:val="0"/>
          <w:color w:val="333333"/>
          <w:spacing w:val="0"/>
          <w:sz w:val="32"/>
          <w:szCs w:val="32"/>
          <w:shd w:val="clear" w:fill="FFFFFF"/>
        </w:rPr>
        <w:t>清单动态调整公开机制</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行政执法公示制度</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监管情况</w:t>
      </w:r>
      <w:r>
        <w:rPr>
          <w:rFonts w:hint="eastAsia" w:ascii="仿宋_GB2312" w:hAnsi="仿宋_GB2312" w:eastAsia="仿宋_GB2312" w:cs="仿宋_GB2312"/>
          <w:i w:val="0"/>
          <w:caps w:val="0"/>
          <w:color w:val="333333"/>
          <w:spacing w:val="0"/>
          <w:sz w:val="32"/>
          <w:szCs w:val="32"/>
          <w:shd w:val="clear" w:fill="FFFFFF"/>
          <w:lang w:val="en-US" w:eastAsia="zh-CN"/>
        </w:rPr>
        <w:t>）</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服务公开（</w:t>
      </w:r>
      <w:r>
        <w:rPr>
          <w:rFonts w:hint="eastAsia" w:ascii="仿宋_GB2312" w:hAnsi="仿宋_GB2312" w:eastAsia="仿宋_GB2312" w:cs="仿宋_GB2312"/>
          <w:i w:val="0"/>
          <w:caps w:val="0"/>
          <w:color w:val="333333"/>
          <w:spacing w:val="0"/>
          <w:sz w:val="32"/>
          <w:szCs w:val="32"/>
          <w:shd w:val="clear" w:fill="FFFFFF"/>
        </w:rPr>
        <w:t>公开服务事项</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行政审批中介服务事项清单、</w:t>
      </w:r>
      <w:r>
        <w:rPr>
          <w:rFonts w:hint="eastAsia" w:ascii="仿宋_GB2312" w:hAnsi="仿宋_GB2312" w:eastAsia="仿宋_GB2312" w:cs="仿宋_GB2312"/>
          <w:i w:val="0"/>
          <w:caps w:val="0"/>
          <w:color w:val="333333"/>
          <w:spacing w:val="0"/>
          <w:sz w:val="32"/>
          <w:szCs w:val="32"/>
          <w:shd w:val="clear" w:fill="FFFFFF"/>
        </w:rPr>
        <w:t>体政务服务中心与网上办事大厅结合</w:t>
      </w:r>
      <w:r>
        <w:rPr>
          <w:rFonts w:hint="eastAsia" w:ascii="仿宋_GB2312" w:hAnsi="仿宋_GB2312" w:eastAsia="仿宋_GB2312" w:cs="仿宋_GB2312"/>
          <w:i w:val="0"/>
          <w:caps w:val="0"/>
          <w:color w:val="333333"/>
          <w:spacing w:val="0"/>
          <w:sz w:val="32"/>
          <w:szCs w:val="32"/>
          <w:shd w:val="clear" w:fill="FFFFFF"/>
          <w:lang w:val="en-US" w:eastAsia="zh-CN"/>
        </w:rPr>
        <w:t>）</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结果公开（</w:t>
      </w:r>
      <w:r>
        <w:rPr>
          <w:rFonts w:hint="eastAsia" w:ascii="仿宋_GB2312" w:hAnsi="仿宋_GB2312" w:eastAsia="仿宋_GB2312" w:cs="仿宋_GB2312"/>
          <w:i w:val="0"/>
          <w:caps w:val="0"/>
          <w:color w:val="333333"/>
          <w:spacing w:val="0"/>
          <w:sz w:val="32"/>
          <w:szCs w:val="32"/>
          <w:shd w:val="clear" w:fill="FFFFFF"/>
        </w:rPr>
        <w:t>重大决策</w:t>
      </w:r>
      <w:r>
        <w:rPr>
          <w:rFonts w:hint="eastAsia" w:ascii="仿宋_GB2312" w:hAnsi="仿宋_GB2312" w:eastAsia="仿宋_GB2312" w:cs="仿宋_GB2312"/>
          <w:i w:val="0"/>
          <w:caps w:val="0"/>
          <w:color w:val="333333"/>
          <w:spacing w:val="0"/>
          <w:sz w:val="32"/>
          <w:szCs w:val="32"/>
          <w:shd w:val="clear" w:fill="FFFFFF"/>
          <w:lang w:eastAsia="zh-CN"/>
        </w:rPr>
        <w:t>及</w:t>
      </w:r>
      <w:r>
        <w:rPr>
          <w:rFonts w:hint="eastAsia" w:ascii="仿宋_GB2312" w:hAnsi="仿宋_GB2312" w:eastAsia="仿宋_GB2312" w:cs="仿宋_GB2312"/>
          <w:i w:val="0"/>
          <w:caps w:val="0"/>
          <w:color w:val="333333"/>
          <w:spacing w:val="0"/>
          <w:sz w:val="32"/>
          <w:szCs w:val="32"/>
          <w:shd w:val="clear" w:fill="FFFFFF"/>
        </w:rPr>
        <w:t>重要政策落实情况</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发展规划</w:t>
      </w:r>
      <w:r>
        <w:rPr>
          <w:rFonts w:hint="eastAsia" w:ascii="仿宋_GB2312" w:hAnsi="仿宋_GB2312" w:eastAsia="仿宋_GB2312" w:cs="仿宋_GB2312"/>
          <w:i w:val="0"/>
          <w:caps w:val="0"/>
          <w:color w:val="333333"/>
          <w:spacing w:val="0"/>
          <w:sz w:val="32"/>
          <w:szCs w:val="32"/>
          <w:shd w:val="clear" w:fill="FFFFFF"/>
          <w:lang w:eastAsia="zh-CN"/>
        </w:rPr>
        <w:t>及</w:t>
      </w:r>
      <w:r>
        <w:rPr>
          <w:rFonts w:hint="eastAsia" w:ascii="仿宋_GB2312" w:hAnsi="仿宋_GB2312" w:eastAsia="仿宋_GB2312" w:cs="仿宋_GB2312"/>
          <w:i w:val="0"/>
          <w:caps w:val="0"/>
          <w:color w:val="333333"/>
          <w:spacing w:val="0"/>
          <w:sz w:val="32"/>
          <w:szCs w:val="32"/>
          <w:shd w:val="clear" w:fill="FFFFFF"/>
        </w:rPr>
        <w:t>政府工作报告、政府决定事项落实</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重大决策跟踪反馈和评估制度</w:t>
      </w:r>
      <w:r>
        <w:rPr>
          <w:rFonts w:hint="eastAsia" w:ascii="仿宋_GB2312" w:hAnsi="仿宋_GB2312" w:eastAsia="仿宋_GB2312" w:cs="仿宋_GB2312"/>
          <w:i w:val="0"/>
          <w:caps w:val="0"/>
          <w:color w:val="333333"/>
          <w:spacing w:val="0"/>
          <w:sz w:val="32"/>
          <w:szCs w:val="32"/>
          <w:shd w:val="clear" w:fill="FFFFFF"/>
          <w:lang w:val="en-US" w:eastAsia="zh-CN"/>
        </w:rPr>
        <w:t>）</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执行公开（重点领域信息公开）（财政预决算、公共资源配置、重大建设项目批准和实施、社会公益事业建设等领域）</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重视依申请公开工作（依申请指南、渠道、制度规范、答复格式规范）</w:t>
      </w:r>
    </w:p>
    <w:p>
      <w:pPr>
        <w:pStyle w:val="2"/>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受理情况分析</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规范化标准化建设</w:t>
      </w:r>
    </w:p>
    <w:p>
      <w:pPr>
        <w:pStyle w:val="2"/>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数字化管理（加大数据公开力度）</w:t>
      </w:r>
    </w:p>
    <w:p>
      <w:pPr>
        <w:pStyle w:val="2"/>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规范信息审核发布机制</w:t>
      </w:r>
    </w:p>
    <w:p>
      <w:pPr>
        <w:pStyle w:val="2"/>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规范性文件清理</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政府门户网站第一平台作用（专题专栏）</w:t>
      </w:r>
    </w:p>
    <w:p>
      <w:pPr>
        <w:pStyle w:val="2"/>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公开方式多样化（政务新媒体、手机APP、两微一端）</w:t>
      </w:r>
    </w:p>
    <w:p>
      <w:pPr>
        <w:pStyle w:val="2"/>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网站集约化</w:t>
      </w:r>
    </w:p>
    <w:p>
      <w:pPr>
        <w:pStyle w:val="2"/>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网站监管</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r>
        <w:rPr>
          <w:rFonts w:hint="eastAsia" w:ascii="仿宋_GB2312" w:hAnsi="仿宋_GB2312" w:eastAsia="仿宋_GB2312" w:cs="仿宋_GB2312"/>
          <w:i w:val="0"/>
          <w:caps w:val="0"/>
          <w:color w:val="333333"/>
          <w:spacing w:val="0"/>
          <w:sz w:val="32"/>
          <w:szCs w:val="32"/>
          <w:shd w:val="clear" w:fill="FFFFFF"/>
          <w:lang w:eastAsia="zh-CN"/>
        </w:rPr>
        <w:t>（工作考核、社会评议和责任追究结果情况）</w:t>
      </w:r>
    </w:p>
    <w:p>
      <w:pPr>
        <w:pStyle w:val="2"/>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工作考核</w:t>
      </w:r>
    </w:p>
    <w:p>
      <w:pPr>
        <w:pStyle w:val="2"/>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社会评议和责任追究</w:t>
      </w:r>
    </w:p>
    <w:p>
      <w:pPr>
        <w:pStyle w:val="2"/>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组织领导、监督检查</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2360"/>
        <w:gridCol w:w="194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40"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本年新制作数量</w:t>
            </w:r>
          </w:p>
        </w:tc>
        <w:tc>
          <w:tcPr>
            <w:tcW w:w="1942"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本年新公开数量</w:t>
            </w:r>
          </w:p>
        </w:tc>
        <w:tc>
          <w:tcPr>
            <w:tcW w:w="22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vAlign w:val="center"/>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    章</w:t>
            </w:r>
          </w:p>
        </w:tc>
        <w:tc>
          <w:tcPr>
            <w:tcW w:w="23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1942"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04"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规范性文件（本单位制发的）</w:t>
            </w:r>
          </w:p>
        </w:tc>
        <w:tc>
          <w:tcPr>
            <w:tcW w:w="23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c>
          <w:tcPr>
            <w:tcW w:w="1942"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c>
          <w:tcPr>
            <w:tcW w:w="2204"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40"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1942"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行政许可</w:t>
            </w:r>
          </w:p>
        </w:tc>
        <w:tc>
          <w:tcPr>
            <w:tcW w:w="2360" w:type="dxa"/>
            <w:shd w:val="clear" w:color="auto" w:fill="auto"/>
          </w:tcPr>
          <w:p>
            <w:pPr>
              <w:spacing w:line="46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8</w:t>
            </w:r>
          </w:p>
        </w:tc>
        <w:tc>
          <w:tcPr>
            <w:tcW w:w="1942" w:type="dxa"/>
            <w:shd w:val="clear" w:color="auto" w:fill="auto"/>
          </w:tcPr>
          <w:p>
            <w:pPr>
              <w:spacing w:line="46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04" w:type="dxa"/>
            <w:shd w:val="clear" w:color="auto" w:fill="auto"/>
          </w:tcPr>
          <w:p>
            <w:pPr>
              <w:spacing w:line="460" w:lineRule="exact"/>
              <w:jc w:val="left"/>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其他对外管理服务事项</w:t>
            </w:r>
          </w:p>
        </w:tc>
        <w:tc>
          <w:tcPr>
            <w:tcW w:w="2360" w:type="dxa"/>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28</w:t>
            </w:r>
          </w:p>
        </w:tc>
        <w:tc>
          <w:tcPr>
            <w:tcW w:w="1942"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04"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40"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1942"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c>
          <w:tcPr>
            <w:tcW w:w="220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行政处罚</w:t>
            </w:r>
          </w:p>
        </w:tc>
        <w:tc>
          <w:tcPr>
            <w:tcW w:w="2360" w:type="dxa"/>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25</w:t>
            </w:r>
          </w:p>
        </w:tc>
        <w:tc>
          <w:tcPr>
            <w:tcW w:w="1942"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04"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行政强制</w:t>
            </w:r>
          </w:p>
        </w:tc>
        <w:tc>
          <w:tcPr>
            <w:tcW w:w="23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3</w:t>
            </w:r>
          </w:p>
        </w:tc>
        <w:tc>
          <w:tcPr>
            <w:tcW w:w="1942"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04"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40"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上一年项目数量</w:t>
            </w:r>
          </w:p>
        </w:tc>
        <w:tc>
          <w:tcPr>
            <w:tcW w:w="4146"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行政事业性收费</w:t>
            </w:r>
          </w:p>
        </w:tc>
        <w:tc>
          <w:tcPr>
            <w:tcW w:w="23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146" w:type="dxa"/>
            <w:gridSpan w:val="2"/>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40" w:type="dxa"/>
            <w:gridSpan w:val="4"/>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信息内容</w:t>
            </w:r>
          </w:p>
        </w:tc>
        <w:tc>
          <w:tcPr>
            <w:tcW w:w="2360"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采购项目数量</w:t>
            </w:r>
          </w:p>
        </w:tc>
        <w:tc>
          <w:tcPr>
            <w:tcW w:w="4146" w:type="dxa"/>
            <w:gridSpan w:val="2"/>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34" w:type="dxa"/>
            <w:shd w:val="clear" w:color="auto" w:fill="auto"/>
          </w:tcPr>
          <w:p>
            <w:pPr>
              <w:spacing w:line="46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政府集中采购</w:t>
            </w:r>
          </w:p>
        </w:tc>
        <w:tc>
          <w:tcPr>
            <w:tcW w:w="2360" w:type="dxa"/>
            <w:shd w:val="clear" w:color="auto" w:fill="auto"/>
          </w:tcPr>
          <w:p>
            <w:pPr>
              <w:spacing w:line="460" w:lineRule="exact"/>
              <w:jc w:val="left"/>
              <w:rPr>
                <w:rFonts w:hint="eastAsia" w:ascii="仿宋" w:hAnsi="仿宋" w:eastAsia="仿宋" w:cs="仿宋"/>
                <w:color w:val="000000" w:themeColor="text1"/>
                <w:szCs w:val="21"/>
                <w:lang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w:t>
            </w:r>
          </w:p>
        </w:tc>
        <w:tc>
          <w:tcPr>
            <w:tcW w:w="4146" w:type="dxa"/>
            <w:gridSpan w:val="2"/>
            <w:shd w:val="clear" w:color="auto" w:fill="auto"/>
          </w:tcPr>
          <w:p>
            <w:pPr>
              <w:spacing w:line="460" w:lineRule="exact"/>
              <w:jc w:val="left"/>
              <w:rPr>
                <w:rFonts w:hint="default"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74500</w:t>
            </w:r>
          </w:p>
        </w:tc>
      </w:tr>
    </w:tbl>
    <w:p>
      <w:pPr>
        <w:spacing w:line="540" w:lineRule="exact"/>
        <w:rPr>
          <w:rFonts w:ascii="仿宋_GB2312" w:hAnsi="仿宋" w:eastAsia="仿宋_GB2312" w:cs="仿宋"/>
          <w:b/>
          <w:color w:val="000000" w:themeColor="text1"/>
          <w:sz w:val="32"/>
          <w:szCs w:val="32"/>
          <w14:textFill>
            <w14:solidFill>
              <w14:schemeClr w14:val="tx1"/>
            </w14:solidFill>
          </w14:textFill>
        </w:rPr>
      </w:pPr>
    </w:p>
    <w:p>
      <w:pPr>
        <w:numPr>
          <w:ilvl w:val="0"/>
          <w:numId w:val="0"/>
        </w:numPr>
        <w:spacing w:line="540" w:lineRule="exac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三、</w:t>
      </w:r>
      <w:r>
        <w:rPr>
          <w:rFonts w:hint="eastAsia" w:ascii="黑体" w:hAnsi="黑体" w:eastAsia="黑体" w:cs="黑体"/>
          <w:b w:val="0"/>
          <w:bCs/>
          <w:color w:val="000000" w:themeColor="text1"/>
          <w:sz w:val="32"/>
          <w:szCs w:val="32"/>
          <w14:textFill>
            <w14:solidFill>
              <w14:schemeClr w14:val="tx1"/>
            </w14:solidFill>
          </w14:textFill>
        </w:rPr>
        <w:t>收到和处理政府信息公开申请情况</w:t>
      </w:r>
    </w:p>
    <w:tbl>
      <w:tblPr>
        <w:tblStyle w:val="3"/>
        <w:tblpPr w:leftFromText="180" w:rightFromText="180" w:vertAnchor="text" w:horzAnchor="page" w:tblpX="1809" w:tblpY="773"/>
        <w:tblOverlap w:val="never"/>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953"/>
        <w:gridCol w:w="1028"/>
        <w:gridCol w:w="880"/>
        <w:gridCol w:w="978"/>
        <w:gridCol w:w="1005"/>
        <w:gridCol w:w="735"/>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restart"/>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本列数据的勾稽关系为：第一项加第二项之和，等于第三项加第四项之和</w:t>
            </w:r>
          </w:p>
        </w:tc>
        <w:tc>
          <w:tcPr>
            <w:tcW w:w="6222" w:type="dxa"/>
            <w:gridSpan w:val="7"/>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953" w:type="dxa"/>
            <w:vMerge w:val="restart"/>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自然人</w:t>
            </w:r>
          </w:p>
        </w:tc>
        <w:tc>
          <w:tcPr>
            <w:tcW w:w="4626" w:type="dxa"/>
            <w:gridSpan w:val="5"/>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法人或其他组织</w:t>
            </w:r>
          </w:p>
        </w:tc>
        <w:tc>
          <w:tcPr>
            <w:tcW w:w="643" w:type="dxa"/>
            <w:vMerge w:val="restart"/>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977"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商业</w:t>
            </w:r>
          </w:p>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企业</w:t>
            </w:r>
          </w:p>
        </w:tc>
        <w:tc>
          <w:tcPr>
            <w:tcW w:w="880"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科研</w:t>
            </w:r>
          </w:p>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机构</w:t>
            </w:r>
          </w:p>
        </w:tc>
        <w:tc>
          <w:tcPr>
            <w:tcW w:w="978"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社会公益组织</w:t>
            </w:r>
          </w:p>
        </w:tc>
        <w:tc>
          <w:tcPr>
            <w:tcW w:w="1005"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法律服务机构</w:t>
            </w:r>
          </w:p>
        </w:tc>
        <w:tc>
          <w:tcPr>
            <w:tcW w:w="735" w:type="dxa"/>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其他</w:t>
            </w:r>
          </w:p>
        </w:tc>
        <w:tc>
          <w:tcPr>
            <w:tcW w:w="643" w:type="dxa"/>
            <w:vMerge w:val="continue"/>
            <w:shd w:val="clear" w:color="auto" w:fill="auto"/>
            <w:vAlign w:val="center"/>
          </w:tcPr>
          <w:p>
            <w:pPr>
              <w:spacing w:line="300" w:lineRule="exact"/>
              <w:jc w:val="center"/>
              <w:rPr>
                <w:rFonts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一</w:t>
            </w:r>
            <w:r>
              <w:rPr>
                <w:rFonts w:hint="eastAsia" w:ascii="仿宋" w:hAnsi="仿宋" w:eastAsia="仿宋" w:cs="仿宋"/>
                <w:color w:val="000000" w:themeColor="text1"/>
                <w:sz w:val="24"/>
                <w:szCs w:val="24"/>
                <w14:textFill>
                  <w14:solidFill>
                    <w14:schemeClr w14:val="tx1"/>
                  </w14:solidFill>
                </w14:textFill>
              </w:rPr>
              <w:t>、本年新收政府信息公开申请数量</w:t>
            </w:r>
          </w:p>
        </w:tc>
        <w:tc>
          <w:tcPr>
            <w:tcW w:w="953"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二</w:t>
            </w:r>
            <w:r>
              <w:rPr>
                <w:rFonts w:hint="eastAsia" w:ascii="仿宋" w:hAnsi="仿宋" w:eastAsia="仿宋" w:cs="仿宋"/>
                <w:color w:val="000000" w:themeColor="text1"/>
                <w:sz w:val="24"/>
                <w:szCs w:val="24"/>
                <w14:textFill>
                  <w14:solidFill>
                    <w14:schemeClr w14:val="tx1"/>
                  </w14:solidFill>
                </w14:textFill>
              </w:rPr>
              <w:t>、上年结转政府信息公开申请数量</w:t>
            </w:r>
          </w:p>
        </w:tc>
        <w:tc>
          <w:tcPr>
            <w:tcW w:w="953"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restart"/>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三</w:t>
            </w:r>
            <w:r>
              <w:rPr>
                <w:rFonts w:hint="eastAsia" w:ascii="仿宋" w:hAnsi="仿宋" w:eastAsia="仿宋" w:cs="仿宋"/>
                <w:color w:val="000000" w:themeColor="text1"/>
                <w:sz w:val="24"/>
                <w:szCs w:val="24"/>
                <w14:textFill>
                  <w14:solidFill>
                    <w14:schemeClr w14:val="tx1"/>
                  </w14:solidFill>
                </w14:textFill>
              </w:rPr>
              <w:t>、本年度办理结果</w:t>
            </w:r>
          </w:p>
        </w:tc>
        <w:tc>
          <w:tcPr>
            <w:tcW w:w="1981"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（一）予以公开</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981"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（二）部分公开（区分处理的，只记这一情形，不记其他情形）</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restart"/>
            <w:shd w:val="clear" w:color="auto" w:fill="auto"/>
            <w:vAlign w:val="center"/>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（三）不予公开</w:t>
            </w: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1.属于国家秘密</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2.其他法律行政法规禁止公开</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3.危及“三安全一稳定”</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jc w:val="center"/>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4.保护第三方合法权益</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5.属于三类内部事务信息</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6.属于四类过程性信息</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7.属于行政执法案卷</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8.属于行政查询事项</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restart"/>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（四）无法提供</w:t>
            </w: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1.本机关不掌握相关政府信息</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2.没有现成信息需要另行制作</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3.补正后申请内容仍不明确</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restart"/>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（五）不予处理</w:t>
            </w: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1.信访投诉举报类申请</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2.重复申请</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3.要求提供公开出版物</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4.无正当理由大量反复申请</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53"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2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5.要求行政机关确认或重新出具已获取信息</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Merge w:val="continue"/>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981"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（六）其他处理</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981" w:type="dxa"/>
            <w:gridSpan w:val="2"/>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（七）总计</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gridSpan w:val="3"/>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四</w:t>
            </w:r>
            <w:r>
              <w:rPr>
                <w:rFonts w:hint="eastAsia" w:ascii="仿宋" w:hAnsi="仿宋" w:eastAsia="仿宋" w:cs="仿宋"/>
                <w:color w:val="000000" w:themeColor="text1"/>
                <w:sz w:val="24"/>
                <w:szCs w:val="24"/>
                <w14:textFill>
                  <w14:solidFill>
                    <w14:schemeClr w14:val="tx1"/>
                  </w14:solidFill>
                </w14:textFill>
              </w:rPr>
              <w:t>、结转下年度继续办理</w:t>
            </w:r>
          </w:p>
        </w:tc>
        <w:tc>
          <w:tcPr>
            <w:tcW w:w="880"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978"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100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735" w:type="dxa"/>
            <w:shd w:val="clear" w:color="auto" w:fill="auto"/>
          </w:tcPr>
          <w:p>
            <w:pPr>
              <w:spacing w:line="300" w:lineRule="exact"/>
              <w:rPr>
                <w:rFonts w:ascii="仿宋" w:hAnsi="仿宋" w:eastAsia="仿宋" w:cs="仿宋"/>
                <w:color w:val="000000" w:themeColor="text1"/>
                <w:sz w:val="24"/>
                <w:szCs w:val="24"/>
                <w14:textFill>
                  <w14:solidFill>
                    <w14:schemeClr w14:val="tx1"/>
                  </w14:solidFill>
                </w14:textFill>
              </w:rPr>
            </w:pPr>
          </w:p>
        </w:tc>
        <w:tc>
          <w:tcPr>
            <w:tcW w:w="643" w:type="dxa"/>
            <w:shd w:val="clear" w:color="auto" w:fill="auto"/>
          </w:tcPr>
          <w:p>
            <w:pPr>
              <w:spacing w:line="300" w:lineRule="exac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w:t>
            </w:r>
          </w:p>
        </w:tc>
      </w:tr>
    </w:tbl>
    <w:p>
      <w:pPr>
        <w:spacing w:line="540" w:lineRule="exact"/>
        <w:ind w:left="640"/>
        <w:rPr>
          <w:rFonts w:ascii="仿宋" w:hAnsi="仿宋" w:eastAsia="仿宋" w:cs="仿宋"/>
          <w:color w:val="000000" w:themeColor="text1"/>
          <w14:textFill>
            <w14:solidFill>
              <w14:schemeClr w14:val="tx1"/>
            </w14:solidFill>
          </w14:textFill>
        </w:rPr>
      </w:pPr>
    </w:p>
    <w:p>
      <w:pPr>
        <w:numPr>
          <w:ilvl w:val="0"/>
          <w:numId w:val="0"/>
        </w:numPr>
        <w:spacing w:line="540" w:lineRule="exac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四、</w:t>
      </w:r>
      <w:r>
        <w:rPr>
          <w:rFonts w:hint="eastAsia" w:ascii="黑体" w:hAnsi="黑体" w:eastAsia="黑体" w:cs="黑体"/>
          <w:b w:val="0"/>
          <w:bCs/>
          <w:color w:val="000000" w:themeColor="text1"/>
          <w:sz w:val="32"/>
          <w:szCs w:val="32"/>
          <w14:textFill>
            <w14:solidFill>
              <w14:schemeClr w14:val="tx1"/>
            </w14:solidFill>
          </w14:textFill>
        </w:rPr>
        <w:t>政府信息公开行政复议、行政诉讼情况</w:t>
      </w:r>
    </w:p>
    <w:tbl>
      <w:tblPr>
        <w:tblStyle w:val="3"/>
        <w:tblW w:w="8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41"/>
        <w:gridCol w:w="541"/>
        <w:gridCol w:w="541"/>
        <w:gridCol w:w="542"/>
        <w:gridCol w:w="541"/>
        <w:gridCol w:w="541"/>
        <w:gridCol w:w="541"/>
        <w:gridCol w:w="541"/>
        <w:gridCol w:w="542"/>
        <w:gridCol w:w="541"/>
        <w:gridCol w:w="541"/>
        <w:gridCol w:w="541"/>
        <w:gridCol w:w="541"/>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706" w:type="dxa"/>
            <w:gridSpan w:val="5"/>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bookmarkStart w:id="0" w:name="_GoBack"/>
            <w:r>
              <w:rPr>
                <w:rFonts w:hint="eastAsia" w:ascii="仿宋" w:hAnsi="仿宋" w:eastAsia="仿宋" w:cs="仿宋"/>
                <w:color w:val="000000" w:themeColor="text1"/>
                <w:sz w:val="24"/>
                <w14:textFill>
                  <w14:solidFill>
                    <w14:schemeClr w14:val="tx1"/>
                  </w14:solidFill>
                </w14:textFill>
              </w:rPr>
              <w:t>行政复议</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（因政府信息公开被行政复议）</w:t>
            </w:r>
          </w:p>
        </w:tc>
        <w:tc>
          <w:tcPr>
            <w:tcW w:w="5413" w:type="dxa"/>
            <w:gridSpan w:val="10"/>
            <w:shd w:val="clear" w:color="auto" w:fill="auto"/>
            <w:vAlign w:val="center"/>
          </w:tcPr>
          <w:p>
            <w:pPr>
              <w:spacing w:line="540" w:lineRule="exact"/>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行政诉讼</w:t>
            </w:r>
            <w:r>
              <w:rPr>
                <w:rFonts w:ascii="仿宋" w:hAnsi="仿宋" w:eastAsia="仿宋" w:cs="仿宋"/>
                <w:color w:val="000000" w:themeColor="text1"/>
                <w:sz w:val="24"/>
                <w14:textFill>
                  <w14:solidFill>
                    <w14:schemeClr w14:val="tx1"/>
                  </w14:solidFill>
                </w14:textFill>
              </w:rPr>
              <w:br w:type="textWrapping"/>
            </w:r>
            <w:r>
              <w:rPr>
                <w:rFonts w:hint="eastAsia" w:ascii="仿宋" w:hAnsi="仿宋" w:eastAsia="仿宋" w:cs="仿宋"/>
                <w:b/>
                <w:color w:val="000000" w:themeColor="text1"/>
                <w:sz w:val="24"/>
                <w14:textFill>
                  <w14:solidFill>
                    <w14:schemeClr w14:val="tx1"/>
                  </w14:solidFill>
                </w14:textFill>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41"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41"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41"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41"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42"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706"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707"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541" w:type="dxa"/>
            <w:vMerge w:val="continue"/>
            <w:shd w:val="clear" w:color="auto" w:fill="auto"/>
            <w:vAlign w:val="center"/>
          </w:tcPr>
          <w:p>
            <w:pPr>
              <w:spacing w:line="540" w:lineRule="exact"/>
              <w:jc w:val="center"/>
              <w:rPr>
                <w:rFonts w:ascii="仿宋" w:hAnsi="仿宋" w:eastAsia="仿宋" w:cs="仿宋"/>
                <w:sz w:val="24"/>
              </w:rPr>
            </w:pPr>
          </w:p>
        </w:tc>
        <w:tc>
          <w:tcPr>
            <w:tcW w:w="541" w:type="dxa"/>
            <w:vMerge w:val="continue"/>
            <w:shd w:val="clear" w:color="auto" w:fill="auto"/>
            <w:vAlign w:val="center"/>
          </w:tcPr>
          <w:p>
            <w:pPr>
              <w:spacing w:line="540" w:lineRule="exact"/>
              <w:jc w:val="center"/>
              <w:rPr>
                <w:rFonts w:ascii="仿宋" w:hAnsi="仿宋" w:eastAsia="仿宋" w:cs="仿宋"/>
                <w:sz w:val="24"/>
              </w:rPr>
            </w:pPr>
          </w:p>
        </w:tc>
        <w:tc>
          <w:tcPr>
            <w:tcW w:w="541" w:type="dxa"/>
            <w:vMerge w:val="continue"/>
            <w:shd w:val="clear" w:color="auto" w:fill="auto"/>
            <w:vAlign w:val="center"/>
          </w:tcPr>
          <w:p>
            <w:pPr>
              <w:spacing w:line="540" w:lineRule="exact"/>
              <w:jc w:val="center"/>
              <w:rPr>
                <w:rFonts w:ascii="仿宋" w:hAnsi="仿宋" w:eastAsia="仿宋" w:cs="仿宋"/>
                <w:sz w:val="24"/>
              </w:rPr>
            </w:pPr>
          </w:p>
        </w:tc>
        <w:tc>
          <w:tcPr>
            <w:tcW w:w="541" w:type="dxa"/>
            <w:vMerge w:val="continue"/>
            <w:shd w:val="clear" w:color="auto" w:fill="auto"/>
            <w:vAlign w:val="center"/>
          </w:tcPr>
          <w:p>
            <w:pPr>
              <w:spacing w:line="540" w:lineRule="exact"/>
              <w:jc w:val="center"/>
              <w:rPr>
                <w:rFonts w:ascii="仿宋" w:hAnsi="仿宋" w:eastAsia="仿宋" w:cs="仿宋"/>
                <w:sz w:val="24"/>
              </w:rPr>
            </w:pPr>
          </w:p>
        </w:tc>
        <w:tc>
          <w:tcPr>
            <w:tcW w:w="542" w:type="dxa"/>
            <w:vMerge w:val="continue"/>
            <w:shd w:val="clear" w:color="auto" w:fill="auto"/>
            <w:vAlign w:val="center"/>
          </w:tcPr>
          <w:p>
            <w:pPr>
              <w:spacing w:line="540" w:lineRule="exact"/>
              <w:jc w:val="center"/>
              <w:rPr>
                <w:rFonts w:ascii="仿宋" w:hAnsi="仿宋" w:eastAsia="仿宋" w:cs="仿宋"/>
                <w:sz w:val="24"/>
              </w:rPr>
            </w:pP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42"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4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43"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2"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2"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43"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bookmarkEnd w:id="0"/>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spacing w:line="580" w:lineRule="exact"/>
        <w:ind w:firstLine="630"/>
        <w:rPr>
          <w:rFonts w:hint="eastAsia" w:ascii="仿宋_GB2312" w:hAnsi="仿宋" w:eastAsia="仿宋_GB2312"/>
          <w:sz w:val="32"/>
          <w:szCs w:val="32"/>
        </w:rPr>
      </w:pPr>
      <w:r>
        <w:rPr>
          <w:rFonts w:hint="eastAsia" w:ascii="仿宋_GB2312" w:hAnsi="仿宋" w:eastAsia="仿宋_GB2312"/>
          <w:b/>
          <w:sz w:val="32"/>
          <w:szCs w:val="32"/>
        </w:rPr>
        <w:t>（一）存在的问题。</w:t>
      </w:r>
      <w:r>
        <w:rPr>
          <w:rFonts w:hint="eastAsia" w:ascii="仿宋_GB2312" w:hAnsi="仿宋" w:eastAsia="仿宋_GB2312"/>
          <w:sz w:val="32"/>
          <w:szCs w:val="32"/>
        </w:rPr>
        <w:t>一是在信息公开工作中存在重数量轻质量的偏向；二是网上办事和网上互动工作还须进一步加强；三是在公开信息的质量要进一步加强。</w:t>
      </w:r>
    </w:p>
    <w:p>
      <w:pPr>
        <w:spacing w:line="580" w:lineRule="exact"/>
        <w:ind w:firstLine="630"/>
        <w:rPr>
          <w:rFonts w:hint="eastAsia" w:ascii="宋体" w:hAnsi="宋体" w:eastAsia="宋体" w:cs="宋体"/>
          <w:b/>
          <w:i w:val="0"/>
          <w:caps w:val="0"/>
          <w:color w:val="333333"/>
          <w:spacing w:val="0"/>
          <w:sz w:val="32"/>
          <w:szCs w:val="32"/>
          <w:shd w:val="clear" w:fill="FFFFFF"/>
        </w:rPr>
      </w:pPr>
      <w:r>
        <w:rPr>
          <w:rFonts w:hint="eastAsia" w:ascii="仿宋_GB2312" w:hAnsi="仿宋" w:eastAsia="仿宋_GB2312"/>
          <w:b/>
          <w:sz w:val="32"/>
          <w:szCs w:val="32"/>
        </w:rPr>
        <w:t>（二）改进措施。</w:t>
      </w:r>
      <w:r>
        <w:rPr>
          <w:rFonts w:hint="eastAsia" w:ascii="仿宋_GB2312" w:hAnsi="仿宋" w:eastAsia="仿宋_GB2312"/>
          <w:sz w:val="32"/>
          <w:szCs w:val="32"/>
        </w:rPr>
        <w:t>一是严格审查和审核所收集的民政信息，确保数量的基础上提高公开信息的质量；二是进一步加大宣传力度，使广大人民群众知晓信息平台，充分利用民政信息公开平台，充分发挥网上咨询、办事、互动功能的发挥。始终围绕打造“阳光民政、法制民政、服务民政”的目标，进一步转变观念，加大信息公开工作力度，深化信息公开内容，扩大公开范围，拓展公开渠道；进一步推动我局信息公开工作，为服务大局、促进社会和谐稳定做出积极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eastAsiaTheme="minorEastAsia"/>
          <w:sz w:val="32"/>
          <w:szCs w:val="32"/>
          <w:lang w:eastAsia="zh-CN"/>
        </w:rPr>
      </w:pPr>
      <w:r>
        <w:rPr>
          <w:rFonts w:hint="eastAsia" w:ascii="宋体" w:hAnsi="宋体" w:eastAsia="宋体" w:cs="宋体"/>
          <w:i w:val="0"/>
          <w:caps w:val="0"/>
          <w:color w:val="333333"/>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5EC7B"/>
    <w:multiLevelType w:val="singleLevel"/>
    <w:tmpl w:val="80F5EC7B"/>
    <w:lvl w:ilvl="0" w:tentative="0">
      <w:start w:val="1"/>
      <w:numFmt w:val="decimal"/>
      <w:lvlText w:val="%1."/>
      <w:lvlJc w:val="left"/>
      <w:pPr>
        <w:tabs>
          <w:tab w:val="left" w:pos="312"/>
        </w:tabs>
      </w:pPr>
    </w:lvl>
  </w:abstractNum>
  <w:abstractNum w:abstractNumId="1">
    <w:nsid w:val="C2D2BD9F"/>
    <w:multiLevelType w:val="singleLevel"/>
    <w:tmpl w:val="C2D2BD9F"/>
    <w:lvl w:ilvl="0" w:tentative="0">
      <w:start w:val="1"/>
      <w:numFmt w:val="decimal"/>
      <w:lvlText w:val="%1."/>
      <w:lvlJc w:val="left"/>
      <w:pPr>
        <w:tabs>
          <w:tab w:val="left" w:pos="312"/>
        </w:tabs>
      </w:pPr>
    </w:lvl>
  </w:abstractNum>
  <w:abstractNum w:abstractNumId="2">
    <w:nsid w:val="E111CA96"/>
    <w:multiLevelType w:val="singleLevel"/>
    <w:tmpl w:val="E111CA96"/>
    <w:lvl w:ilvl="0" w:tentative="0">
      <w:start w:val="1"/>
      <w:numFmt w:val="decimal"/>
      <w:lvlText w:val="%1."/>
      <w:lvlJc w:val="left"/>
      <w:pPr>
        <w:tabs>
          <w:tab w:val="left" w:pos="312"/>
        </w:tabs>
      </w:pPr>
    </w:lvl>
  </w:abstractNum>
  <w:abstractNum w:abstractNumId="3">
    <w:nsid w:val="E49DB681"/>
    <w:multiLevelType w:val="singleLevel"/>
    <w:tmpl w:val="E49DB681"/>
    <w:lvl w:ilvl="0" w:tentative="0">
      <w:start w:val="1"/>
      <w:numFmt w:val="chineseCounting"/>
      <w:suff w:val="nothing"/>
      <w:lvlText w:val="%1、"/>
      <w:lvlJc w:val="left"/>
      <w:rPr>
        <w:rFonts w:hint="eastAsia"/>
      </w:rPr>
    </w:lvl>
  </w:abstractNum>
  <w:abstractNum w:abstractNumId="4">
    <w:nsid w:val="128F45C3"/>
    <w:multiLevelType w:val="singleLevel"/>
    <w:tmpl w:val="128F45C3"/>
    <w:lvl w:ilvl="0" w:tentative="0">
      <w:start w:val="1"/>
      <w:numFmt w:val="chineseCounting"/>
      <w:suff w:val="nothing"/>
      <w:lvlText w:val="（%1）"/>
      <w:lvlJc w:val="left"/>
      <w:rPr>
        <w:rFonts w:hint="eastAsia"/>
      </w:rPr>
    </w:lvl>
  </w:abstractNum>
  <w:abstractNum w:abstractNumId="5">
    <w:nsid w:val="36AE5EC2"/>
    <w:multiLevelType w:val="singleLevel"/>
    <w:tmpl w:val="36AE5EC2"/>
    <w:lvl w:ilvl="0" w:tentative="0">
      <w:start w:val="1"/>
      <w:numFmt w:val="decimal"/>
      <w:lvlText w:val="%1."/>
      <w:lvlJc w:val="left"/>
      <w:pPr>
        <w:tabs>
          <w:tab w:val="left" w:pos="312"/>
        </w:tabs>
      </w:pPr>
    </w:lvl>
  </w:abstractNum>
  <w:abstractNum w:abstractNumId="6">
    <w:nsid w:val="7E62037F"/>
    <w:multiLevelType w:val="singleLevel"/>
    <w:tmpl w:val="7E62037F"/>
    <w:lvl w:ilvl="0" w:tentative="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97A77FC"/>
    <w:rsid w:val="0F42566A"/>
    <w:rsid w:val="0FE32618"/>
    <w:rsid w:val="11BE0EF5"/>
    <w:rsid w:val="17534F7D"/>
    <w:rsid w:val="1B931963"/>
    <w:rsid w:val="23B06487"/>
    <w:rsid w:val="2480713E"/>
    <w:rsid w:val="37B960F8"/>
    <w:rsid w:val="38B34F4A"/>
    <w:rsid w:val="519D4381"/>
    <w:rsid w:val="566E50F8"/>
    <w:rsid w:val="56857A37"/>
    <w:rsid w:val="5FCE6A83"/>
    <w:rsid w:val="67482849"/>
    <w:rsid w:val="6EB526D3"/>
    <w:rsid w:val="6EC41F3F"/>
    <w:rsid w:val="746B4989"/>
    <w:rsid w:val="7B440FF1"/>
    <w:rsid w:val="7D7C7DE7"/>
    <w:rsid w:val="7DB563BC"/>
    <w:rsid w:val="7E341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2021-01-26T01:21:00Z</cp:lastPrinted>
  <dcterms:modified xsi:type="dcterms:W3CDTF">2022-03-10T03:35:38Z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164B16D65A1245DC98CACD6026E1200B</vt:lpwstr>
  </property>
</Properties>
</file>