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宋体" w:eastAsia="黑体" w:cs="黑体"/>
          <w:b w:val="0"/>
          <w:bCs w:val="0"/>
          <w:sz w:val="32"/>
          <w:szCs w:val="32"/>
        </w:rPr>
      </w:pPr>
      <w:r>
        <w:rPr>
          <w:rFonts w:ascii="仿宋" w:hAnsi="仿宋" w:eastAsia="仿宋" w:cs="仿宋"/>
          <w:kern w:val="0"/>
          <w:sz w:val="32"/>
          <w:szCs w:val="32"/>
          <w:lang w:val="en-US" w:eastAsia="zh-CN" w:bidi="ar"/>
        </w:rPr>
        <w:t>本年度报告是根据《中华人民共和国政府信息公开条例》（以下简称《条例》）和县政府办《关于编制和发布</w:t>
      </w:r>
      <w:r>
        <w:rPr>
          <w:rFonts w:hint="eastAsia" w:ascii="仿宋" w:hAnsi="仿宋" w:eastAsia="仿宋" w:cs="仿宋"/>
          <w:kern w:val="0"/>
          <w:sz w:val="32"/>
          <w:szCs w:val="32"/>
          <w:lang w:val="en-US" w:eastAsia="zh-CN" w:bidi="ar"/>
        </w:rPr>
        <w:t>2021年政府信息公开工作年度报告的通知》（以下简称《通知》）的要求，由石城县公安局编制。全文包括总体情况，主动公开政府信息情况，依申请公开政府信息办理情况，政府信息公开的收费及减免情况，政府信息公开申请行政复议、提起行政诉讼情况，存在的主要问题和改进情况。本报告中所列数据的统计期限自2021年1月1日至2021年12月31日止。本年度报告在石城县人民政府门户网站上全文公开，如对本年度报告有任何疑问，请与石城县公安局办公室联系（地址：石城县琴江镇学前路9号401室，邮编342700；电话：0797-5713631，电子信箱：sc_gajbgs@ganzhou.gov.cn ）。</w:t>
      </w:r>
      <w:r>
        <w:rPr>
          <w:rFonts w:ascii="黑体" w:hAnsi="宋体" w:eastAsia="黑体" w:cs="黑体"/>
          <w:b w:val="0"/>
          <w:bCs w:val="0"/>
          <w:kern w:val="0"/>
          <w:sz w:val="32"/>
          <w:szCs w:val="32"/>
        </w:rPr>
        <w:t> 一、</w:t>
      </w:r>
      <w:r>
        <w:rPr>
          <w:rFonts w:hint="eastAsia" w:ascii="黑体" w:hAnsi="宋体" w:eastAsia="黑体" w:cs="黑体"/>
          <w:b w:val="0"/>
          <w:bCs w:val="0"/>
          <w:sz w:val="32"/>
          <w:szCs w:val="32"/>
        </w:rPr>
        <w:t>总体情况</w:t>
      </w:r>
    </w:p>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2021年，石城县公安局高度重视政府信息公开工作，切实加强对政府信息公开工作的组织领导，不断完善政府信息公开相关配套制度和工作规范，通过强化组织领导和宣传，并以石城县政府网站、“石城公安”微信公众平台、“石城公安”今日头条号为载体，主动为群众提供政府信息公开服务，取得了明显成效。</w:t>
      </w:r>
    </w:p>
    <w:p>
      <w:pPr>
        <w:keepNext w:val="0"/>
        <w:keepLines w:val="0"/>
        <w:pageBreakBefore w:val="0"/>
        <w:widowControl/>
        <w:numPr>
          <w:ilvl w:val="0"/>
          <w:numId w:val="1"/>
        </w:numPr>
        <w:suppressLineNumbers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楷体" w:hAnsi="楷体" w:eastAsia="楷体" w:cs="楷体"/>
          <w:b w:val="0"/>
          <w:bCs w:val="0"/>
          <w:kern w:val="0"/>
          <w:sz w:val="32"/>
          <w:szCs w:val="32"/>
          <w:lang w:eastAsia="zh-CN"/>
        </w:rPr>
      </w:pPr>
      <w:r>
        <w:rPr>
          <w:rFonts w:hint="eastAsia" w:ascii="楷体" w:hAnsi="楷体" w:eastAsia="楷体" w:cs="楷体"/>
          <w:b w:val="0"/>
          <w:bCs w:val="0"/>
          <w:kern w:val="0"/>
          <w:sz w:val="32"/>
          <w:szCs w:val="32"/>
        </w:rPr>
        <w:t>主动公开情况</w:t>
      </w:r>
      <w:r>
        <w:rPr>
          <w:rFonts w:hint="eastAsia" w:ascii="楷体" w:hAnsi="楷体" w:eastAsia="楷体" w:cs="楷体"/>
          <w:b w:val="0"/>
          <w:bCs w:val="0"/>
          <w:kern w:val="0"/>
          <w:sz w:val="32"/>
          <w:szCs w:val="32"/>
          <w:lang w:eastAsia="zh-CN"/>
        </w:rPr>
        <w:t>。</w:t>
      </w:r>
    </w:p>
    <w:p>
      <w:pPr>
        <w:keepNext w:val="0"/>
        <w:keepLines w:val="0"/>
        <w:pageBreakBefore w:val="0"/>
        <w:widowControl/>
        <w:numPr>
          <w:ilvl w:val="0"/>
          <w:numId w:val="2"/>
        </w:numPr>
        <w:suppressLineNumbers w:val="0"/>
        <w:kinsoku/>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公开的内容。</w:t>
      </w:r>
      <w:r>
        <w:rPr>
          <w:rFonts w:hint="eastAsia" w:ascii="仿宋" w:hAnsi="仿宋" w:eastAsia="仿宋" w:cs="仿宋"/>
          <w:kern w:val="0"/>
          <w:sz w:val="32"/>
          <w:szCs w:val="32"/>
        </w:rPr>
        <w:t>石城县公安局2021年主动公开的内容主要有以下几种类型：概况信息、政策文件、工作动态、治安管理、户政服务、权责清单、行政处罚、行政许可等。在“石城公安”微信公众号、今日头条号上主动公开的有工作动态、警情通报、警方提示、办事服务、法律法规等内容。2021年度，通过“石城公安”微信公众号发布各类警务信息229条，“石城公安”今日头条号发布各类警务信息90条，通过政府信息公开网主动公开各类信息232条，其中概况信息1条、工作动态192条、政策文件6条、治安管理12条、户政服务6条、权责清单2条、行政许可1条、行政处罚12条。召开向群众报告工作会、警民恳谈会730余场（次），主动向辖区群众公开辖区治安状况、回应群众关心关注的热点，进一步密切了警民关系。</w:t>
      </w:r>
    </w:p>
    <w:p>
      <w:pPr>
        <w:keepNext w:val="0"/>
        <w:keepLines w:val="0"/>
        <w:pageBreakBefore w:val="0"/>
        <w:widowControl/>
        <w:numPr>
          <w:numId w:val="0"/>
        </w:numPr>
        <w:suppressLineNumbers w:val="0"/>
        <w:kinsoku/>
        <w:overflowPunct/>
        <w:topLinePunct w:val="0"/>
        <w:autoSpaceDE/>
        <w:autoSpaceDN/>
        <w:bidi w:val="0"/>
        <w:adjustRightInd/>
        <w:snapToGrid/>
        <w:spacing w:beforeAutospacing="0" w:afterAutospacing="0" w:line="560" w:lineRule="exact"/>
        <w:ind w:firstLine="643" w:firstLineChars="200"/>
        <w:jc w:val="left"/>
        <w:textAlignment w:val="auto"/>
      </w:pPr>
      <w:r>
        <w:rPr>
          <w:rFonts w:hint="eastAsia" w:ascii="仿宋" w:hAnsi="仿宋" w:eastAsia="仿宋" w:cs="仿宋"/>
          <w:b/>
          <w:bCs w:val="0"/>
          <w:sz w:val="32"/>
          <w:szCs w:val="32"/>
        </w:rPr>
        <w:t>2.公开形式。</w:t>
      </w:r>
      <w:r>
        <w:rPr>
          <w:rFonts w:hint="eastAsia" w:ascii="仿宋" w:hAnsi="仿宋" w:eastAsia="仿宋" w:cs="仿宋"/>
          <w:kern w:val="0"/>
          <w:sz w:val="32"/>
          <w:szCs w:val="32"/>
        </w:rPr>
        <w:t>一是通过石城县政府门户网站、“石城公安”微信公众号、“石城公安”今日头条号。二是与石城县融媒体中心合作发布。三是利用向群众报告会、110宣传日、警营开放日、警民恳谈会、禁毒、反电诈、网络安全宣传等专题活动，向社会发放各类宣传资料及发布各类防范违法犯罪等预警信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b/>
          <w:bCs/>
          <w:kern w:val="2"/>
          <w:sz w:val="32"/>
          <w:szCs w:val="32"/>
          <w:lang w:val="en-US" w:eastAsia="zh-CN" w:bidi="ar"/>
        </w:rPr>
        <w:t>（二）依申请公开情况：</w:t>
      </w:r>
      <w:r>
        <w:rPr>
          <w:rFonts w:hint="eastAsia" w:ascii="仿宋" w:hAnsi="仿宋" w:eastAsia="仿宋" w:cs="仿宋"/>
          <w:kern w:val="2"/>
          <w:sz w:val="32"/>
          <w:szCs w:val="32"/>
          <w:lang w:val="en-US" w:eastAsia="zh-CN" w:bidi="ar"/>
        </w:rPr>
        <w:t>2021年我局无依申请公开信息。</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（三）政府信息管理：</w:t>
      </w:r>
      <w:r>
        <w:rPr>
          <w:rFonts w:hint="eastAsia" w:ascii="仿宋" w:hAnsi="仿宋" w:eastAsia="仿宋" w:cs="仿宋"/>
          <w:b w:val="0"/>
          <w:bCs w:val="0"/>
          <w:kern w:val="0"/>
          <w:sz w:val="32"/>
          <w:szCs w:val="32"/>
        </w:rPr>
        <w:t>我局</w:t>
      </w:r>
      <w:r>
        <w:rPr>
          <w:rFonts w:hint="eastAsia" w:ascii="仿宋" w:hAnsi="仿宋" w:eastAsia="仿宋" w:cs="仿宋"/>
          <w:kern w:val="0"/>
          <w:sz w:val="32"/>
          <w:szCs w:val="32"/>
        </w:rPr>
        <w:t>认真贯彻落实《条例《通知》等法规、规章，结合公安工作实际情况，不断完善工作规范和机制。</w:t>
      </w:r>
      <w:r>
        <w:rPr>
          <w:rFonts w:hint="eastAsia" w:ascii="仿宋" w:hAnsi="仿宋" w:eastAsia="仿宋" w:cs="仿宋"/>
          <w:b/>
          <w:bCs/>
          <w:sz w:val="32"/>
          <w:szCs w:val="32"/>
        </w:rPr>
        <w:t>一是</w:t>
      </w:r>
      <w:r>
        <w:rPr>
          <w:rFonts w:hint="eastAsia" w:ascii="仿宋" w:hAnsi="仿宋" w:eastAsia="仿宋" w:cs="仿宋"/>
          <w:kern w:val="0"/>
          <w:sz w:val="32"/>
          <w:szCs w:val="32"/>
        </w:rPr>
        <w:t>健全工作日常运行机制，建立了政务信息发布保密审查和责任追究机制等。</w:t>
      </w:r>
      <w:r>
        <w:rPr>
          <w:rFonts w:hint="eastAsia" w:ascii="仿宋" w:hAnsi="仿宋" w:eastAsia="仿宋" w:cs="仿宋"/>
          <w:b/>
          <w:bCs/>
          <w:sz w:val="32"/>
          <w:szCs w:val="32"/>
        </w:rPr>
        <w:t>二是</w:t>
      </w:r>
      <w:r>
        <w:rPr>
          <w:rFonts w:hint="eastAsia" w:ascii="仿宋" w:hAnsi="仿宋" w:eastAsia="仿宋" w:cs="仿宋"/>
          <w:kern w:val="0"/>
          <w:sz w:val="32"/>
          <w:szCs w:val="32"/>
        </w:rPr>
        <w:t>完善公文类信息公开属性审核机制，建立健全依申请公开内部处理程序等。</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b/>
          <w:bCs/>
          <w:kern w:val="2"/>
          <w:sz w:val="32"/>
          <w:szCs w:val="32"/>
          <w:lang w:val="en-US" w:eastAsia="zh-CN" w:bidi="ar"/>
        </w:rPr>
        <w:t>（四）政府信息公开平台建设：</w:t>
      </w:r>
      <w:r>
        <w:rPr>
          <w:rFonts w:hint="eastAsia" w:ascii="仿宋" w:hAnsi="仿宋" w:eastAsia="仿宋" w:cs="仿宋"/>
          <w:kern w:val="2"/>
          <w:sz w:val="32"/>
          <w:szCs w:val="32"/>
          <w:lang w:val="en-US" w:eastAsia="zh-CN" w:bidi="ar"/>
        </w:rPr>
        <w:t>我局暂无相关信息公开平台建设。</w:t>
      </w:r>
    </w:p>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pPr>
      <w:r>
        <w:rPr>
          <w:rFonts w:hint="eastAsia" w:ascii="仿宋" w:hAnsi="仿宋" w:eastAsia="仿宋" w:cs="仿宋"/>
          <w:b/>
          <w:bCs/>
          <w:kern w:val="2"/>
          <w:sz w:val="32"/>
          <w:szCs w:val="32"/>
          <w:lang w:val="en-US" w:eastAsia="zh-CN" w:bidi="ar"/>
        </w:rPr>
        <w:t>（五）监督保障：</w:t>
      </w:r>
      <w:r>
        <w:rPr>
          <w:rFonts w:hint="eastAsia" w:ascii="仿宋" w:hAnsi="仿宋" w:eastAsia="仿宋" w:cs="仿宋"/>
          <w:kern w:val="2"/>
          <w:sz w:val="32"/>
          <w:szCs w:val="32"/>
          <w:lang w:val="en-US" w:eastAsia="zh-CN" w:bidi="ar"/>
        </w:rPr>
        <w:t>为确保信息公开工作合法、规范，制定了中心信息公开工作制度，明确了各方责任，通过用制度管人，最大程度保障政务公开工作合法依规。</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11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二、主动公开政府信息情况</w:t>
      </w:r>
    </w:p>
    <w:tbl>
      <w:tblPr>
        <w:tblStyle w:val="3"/>
        <w:tblpPr w:leftFromText="180" w:rightFromText="180" w:vertAnchor="text" w:horzAnchor="page" w:tblpX="1910" w:tblpY="1008"/>
        <w:tblOverlap w:val="never"/>
        <w:tblW w:w="1008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880"/>
        <w:gridCol w:w="2340"/>
        <w:gridCol w:w="2520"/>
        <w:gridCol w:w="23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c>
          <w:tcPr>
            <w:tcW w:w="1008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center"/>
              <w:textAlignment w:val="auto"/>
            </w:pPr>
            <w:r>
              <w:rPr>
                <w:rFonts w:hint="eastAsia" w:ascii="仿宋" w:hAnsi="仿宋" w:eastAsia="仿宋" w:cs="仿宋"/>
                <w:caps w:val="0"/>
                <w:spacing w:val="0"/>
                <w:kern w:val="0"/>
                <w:sz w:val="32"/>
                <w:szCs w:val="32"/>
              </w:rPr>
              <w:t>第二十条第（一）项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center"/>
              <w:textAlignment w:val="auto"/>
            </w:pPr>
            <w:r>
              <w:rPr>
                <w:rFonts w:hint="eastAsia" w:ascii="仿宋" w:hAnsi="仿宋" w:eastAsia="仿宋" w:cs="仿宋"/>
                <w:caps w:val="0"/>
                <w:spacing w:val="0"/>
                <w:kern w:val="0"/>
                <w:sz w:val="32"/>
                <w:szCs w:val="32"/>
              </w:rPr>
              <w:t>信息内容</w:t>
            </w:r>
          </w:p>
        </w:tc>
        <w:tc>
          <w:tcPr>
            <w:tcW w:w="23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本年制发件数</w:t>
            </w:r>
          </w:p>
        </w:tc>
        <w:tc>
          <w:tcPr>
            <w:tcW w:w="25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本年废止件数</w:t>
            </w:r>
          </w:p>
        </w:tc>
        <w:tc>
          <w:tcPr>
            <w:tcW w:w="23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现行有效件数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2"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center"/>
              <w:textAlignment w:val="auto"/>
            </w:pPr>
            <w:r>
              <w:rPr>
                <w:rFonts w:hint="eastAsia" w:ascii="仿宋" w:hAnsi="仿宋" w:eastAsia="仿宋" w:cs="仿宋"/>
                <w:caps w:val="0"/>
                <w:spacing w:val="0"/>
                <w:kern w:val="0"/>
                <w:sz w:val="32"/>
                <w:szCs w:val="32"/>
              </w:rPr>
              <w:t>规章</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c>
          <w:tcPr>
            <w:tcW w:w="25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0" w:firstLineChars="200"/>
              <w:jc w:val="center"/>
              <w:textAlignment w:val="auto"/>
            </w:pPr>
            <w:r>
              <w:rPr>
                <w:rFonts w:hint="eastAsia" w:ascii="仿宋" w:hAnsi="仿宋" w:eastAsia="仿宋" w:cs="仿宋"/>
                <w:caps w:val="0"/>
                <w:spacing w:val="0"/>
                <w:kern w:val="0"/>
                <w:sz w:val="32"/>
                <w:szCs w:val="32"/>
              </w:rPr>
              <w:t>行政规范性文件</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c>
          <w:tcPr>
            <w:tcW w:w="25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c>
          <w:tcPr>
            <w:tcW w:w="2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0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第二十条第（五）项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信息内容</w:t>
            </w:r>
          </w:p>
        </w:tc>
        <w:tc>
          <w:tcPr>
            <w:tcW w:w="72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本年处理决定数量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行政许可</w:t>
            </w:r>
          </w:p>
        </w:tc>
        <w:tc>
          <w:tcPr>
            <w:tcW w:w="72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697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0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第二十条第（六）项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信息内容</w:t>
            </w:r>
          </w:p>
        </w:tc>
        <w:tc>
          <w:tcPr>
            <w:tcW w:w="72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本年处理决定数量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行政处罚</w:t>
            </w:r>
          </w:p>
        </w:tc>
        <w:tc>
          <w:tcPr>
            <w:tcW w:w="72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 584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行政强制</w:t>
            </w:r>
          </w:p>
        </w:tc>
        <w:tc>
          <w:tcPr>
            <w:tcW w:w="72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 148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100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第二十条第（八）项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信息内容</w:t>
            </w:r>
          </w:p>
        </w:tc>
        <w:tc>
          <w:tcPr>
            <w:tcW w:w="7200"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本年收费金额（单位：万元）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28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行政事业性收费</w:t>
            </w:r>
          </w:p>
        </w:tc>
        <w:tc>
          <w:tcPr>
            <w:tcW w:w="7200"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仿宋" w:hAnsi="仿宋" w:eastAsia="仿宋" w:cs="仿宋"/>
                <w:caps w:val="0"/>
                <w:spacing w:val="0"/>
                <w:kern w:val="0"/>
                <w:sz w:val="32"/>
                <w:szCs w:val="32"/>
              </w:rPr>
              <w:t> 41.306</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i w:val="0"/>
          <w:iCs w:val="0"/>
          <w:caps w:val="0"/>
          <w:spacing w:val="0"/>
          <w:kern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i w:val="0"/>
          <w:iCs w:val="0"/>
          <w:caps w:val="0"/>
          <w:spacing w:val="0"/>
          <w:kern w:val="0"/>
          <w:sz w:val="32"/>
          <w:szCs w:val="32"/>
        </w:rPr>
      </w:pP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i w:val="0"/>
          <w:iCs w:val="0"/>
          <w:caps w:val="0"/>
          <w:spacing w:val="0"/>
          <w:kern w:val="0"/>
          <w:sz w:val="32"/>
          <w:szCs w:val="32"/>
        </w:rPr>
        <w:t>三、收到和处理政府信息公开申请情况</w:t>
      </w:r>
    </w:p>
    <w:tbl>
      <w:tblPr>
        <w:tblpPr w:leftFromText="180" w:rightFromText="180" w:vertAnchor="text" w:horzAnchor="page" w:tblpX="815" w:tblpY="2220"/>
        <w:tblOverlap w:val="never"/>
        <w:tblW w:w="1061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6"/>
        <w:gridCol w:w="1024"/>
        <w:gridCol w:w="1950"/>
        <w:gridCol w:w="930"/>
        <w:gridCol w:w="855"/>
        <w:gridCol w:w="930"/>
        <w:gridCol w:w="1005"/>
        <w:gridCol w:w="1125"/>
        <w:gridCol w:w="960"/>
        <w:gridCol w:w="9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90" w:hRule="atLeast"/>
        </w:trPr>
        <w:tc>
          <w:tcPr>
            <w:tcW w:w="383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（本列数据的勾稽关系为：第一项加第二项之和，等于第三项加第四项之和）</w:t>
            </w:r>
          </w:p>
        </w:tc>
        <w:tc>
          <w:tcPr>
            <w:tcW w:w="6786"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390" w:hRule="atLeast"/>
        </w:trPr>
        <w:tc>
          <w:tcPr>
            <w:tcW w:w="383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93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自然人</w:t>
            </w:r>
          </w:p>
        </w:tc>
        <w:tc>
          <w:tcPr>
            <w:tcW w:w="487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法人或其他组织</w:t>
            </w:r>
          </w:p>
        </w:tc>
        <w:tc>
          <w:tcPr>
            <w:tcW w:w="98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40" w:hRule="atLeast"/>
        </w:trPr>
        <w:tc>
          <w:tcPr>
            <w:tcW w:w="383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9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商业企业</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科研机构</w:t>
            </w:r>
          </w:p>
        </w:tc>
        <w:tc>
          <w:tcPr>
            <w:tcW w:w="10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社会公益组织</w:t>
            </w:r>
          </w:p>
        </w:tc>
        <w:tc>
          <w:tcPr>
            <w:tcW w:w="11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法律服务机构</w:t>
            </w:r>
          </w:p>
        </w:tc>
        <w:tc>
          <w:tcPr>
            <w:tcW w:w="9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其他</w:t>
            </w:r>
          </w:p>
        </w:tc>
        <w:tc>
          <w:tcPr>
            <w:tcW w:w="98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383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一、本年新收政府信息公开申请数量</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383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二、上年结转政府信息公开申请数量</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8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三、</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本年度办理结果</w:t>
            </w:r>
          </w:p>
        </w:tc>
        <w:tc>
          <w:tcPr>
            <w:tcW w:w="29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（一）予以公开</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4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29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14"/>
                <w:kern w:val="0"/>
                <w:sz w:val="32"/>
                <w:szCs w:val="32"/>
              </w:rPr>
              <w:t>（二）部分公开（区分处理的，只计这一情形，不计其他情形）</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（三）</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不予</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公开</w:t>
            </w: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1.属于国家机密</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20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2.其他法律行政法规禁止公开</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14"/>
                <w:kern w:val="0"/>
                <w:sz w:val="32"/>
                <w:szCs w:val="32"/>
              </w:rPr>
              <w:t>3.危及“三安全一稳定”</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4.保护第三方合法利益</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20"/>
                <w:kern w:val="0"/>
                <w:sz w:val="32"/>
                <w:szCs w:val="32"/>
              </w:rPr>
              <w:t>5.属于三类内部事务信息</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1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6.属于四类过程性信息</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4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7.属于行政执法案卷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4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8.属于行政查询事项</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291"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（四）</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无法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提供</w:t>
            </w: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1.本机关不掌握相关政府信息</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7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2.没有现成信息需要另行制作</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26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3.补正后申请内容仍不明确</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8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不予</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处理</w:t>
            </w: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1.信访举报投诉类申请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76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2.重复申请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91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3.要求提供公开出版物</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140"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4.无正当理由大量反复申请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1516"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5.要求行政机关确认或重新出具已获取信息</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101"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（六）其他处理</w:t>
            </w: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1.申请人无正当理由逾期不补正、行政机关不再处理其政府信息公开申请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536"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2.申请人逾期未按收费通知要求缴纳费用、行政机关不再处理其政府信息公开申请</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6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02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19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3.其他</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65" w:hRule="atLeast"/>
        </w:trPr>
        <w:tc>
          <w:tcPr>
            <w:tcW w:w="8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29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（七）总计</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65" w:hRule="atLeast"/>
        </w:trPr>
        <w:tc>
          <w:tcPr>
            <w:tcW w:w="383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仿宋" w:hAnsi="仿宋" w:eastAsia="仿宋" w:cs="仿宋"/>
                <w:caps w:val="0"/>
                <w:spacing w:val="0"/>
                <w:kern w:val="0"/>
                <w:sz w:val="32"/>
                <w:szCs w:val="32"/>
              </w:rPr>
              <w:t>四、结转下年度继续办理</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3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00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112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c>
          <w:tcPr>
            <w:tcW w:w="98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center"/>
              <w:textAlignment w:val="auto"/>
            </w:pPr>
            <w:r>
              <w:rPr>
                <w:rFonts w:hint="eastAsia" w:ascii="仿宋" w:hAnsi="仿宋" w:eastAsia="仿宋" w:cs="仿宋"/>
                <w:caps w:val="0"/>
                <w:spacing w:val="0"/>
                <w:kern w:val="0"/>
                <w:sz w:val="32"/>
                <w:szCs w:val="32"/>
              </w:rPr>
              <w:t> 0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pPr>
      <w:bookmarkStart w:id="0" w:name="_GoBack"/>
      <w:r>
        <w:rPr>
          <w:rFonts w:hint="eastAsia" w:ascii="仿宋" w:hAnsi="仿宋" w:eastAsia="仿宋" w:cs="仿宋"/>
          <w:i w:val="0"/>
          <w:iCs w:val="0"/>
          <w:caps w:val="0"/>
          <w:spacing w:val="0"/>
          <w:kern w:val="0"/>
          <w:sz w:val="32"/>
          <w:szCs w:val="32"/>
        </w:rPr>
        <w:t>四、政府信息公开行政复议、行政诉讼情况</w:t>
      </w:r>
    </w:p>
    <w:bookmarkEnd w:id="0"/>
    <w:tbl>
      <w:tblPr>
        <w:tblW w:w="10080" w:type="dxa"/>
        <w:tblInd w:w="60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76"/>
        <w:gridCol w:w="1176"/>
        <w:gridCol w:w="1176"/>
        <w:gridCol w:w="1176"/>
        <w:gridCol w:w="1176"/>
        <w:gridCol w:w="1176"/>
        <w:gridCol w:w="1176"/>
        <w:gridCol w:w="1176"/>
        <w:gridCol w:w="1176"/>
        <w:gridCol w:w="1176"/>
        <w:gridCol w:w="1176"/>
        <w:gridCol w:w="1176"/>
        <w:gridCol w:w="1176"/>
        <w:gridCol w:w="1176"/>
        <w:gridCol w:w="11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c>
          <w:tcPr>
            <w:tcW w:w="360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行政复议</w:t>
            </w:r>
          </w:p>
        </w:tc>
        <w:tc>
          <w:tcPr>
            <w:tcW w:w="6480"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72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结果维持</w:t>
            </w:r>
          </w:p>
        </w:tc>
        <w:tc>
          <w:tcPr>
            <w:tcW w:w="7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结果纠正</w:t>
            </w:r>
          </w:p>
        </w:tc>
        <w:tc>
          <w:tcPr>
            <w:tcW w:w="72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其他结果</w:t>
            </w:r>
          </w:p>
        </w:tc>
        <w:tc>
          <w:tcPr>
            <w:tcW w:w="72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尚未审结</w:t>
            </w:r>
          </w:p>
        </w:tc>
        <w:tc>
          <w:tcPr>
            <w:tcW w:w="72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总计</w:t>
            </w:r>
          </w:p>
        </w:tc>
        <w:tc>
          <w:tcPr>
            <w:tcW w:w="336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未经复议直接起诉</w:t>
            </w:r>
          </w:p>
        </w:tc>
        <w:tc>
          <w:tcPr>
            <w:tcW w:w="311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72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left"/>
              <w:textAlignment w:val="auto"/>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left"/>
              <w:textAlignment w:val="auto"/>
              <w:rPr>
                <w:rFonts w:hint="eastAsia" w:ascii="宋体"/>
                <w:sz w:val="24"/>
                <w:szCs w:val="24"/>
              </w:rPr>
            </w:pPr>
          </w:p>
        </w:tc>
        <w:tc>
          <w:tcPr>
            <w:tcW w:w="7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left"/>
              <w:textAlignment w:val="auto"/>
              <w:rPr>
                <w:rFonts w:hint="eastAsia" w:ascii="宋体"/>
                <w:sz w:val="24"/>
                <w:szCs w:val="24"/>
              </w:rPr>
            </w:pPr>
          </w:p>
        </w:tc>
        <w:tc>
          <w:tcPr>
            <w:tcW w:w="7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left"/>
              <w:textAlignment w:val="auto"/>
              <w:rPr>
                <w:rFonts w:hint="eastAsia" w:ascii="宋体"/>
                <w:sz w:val="24"/>
                <w:szCs w:val="24"/>
              </w:rPr>
            </w:pPr>
          </w:p>
        </w:tc>
        <w:tc>
          <w:tcPr>
            <w:tcW w:w="7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beforeAutospacing="0" w:afterAutospacing="0" w:line="560" w:lineRule="exact"/>
              <w:jc w:val="left"/>
              <w:textAlignment w:val="auto"/>
              <w:rPr>
                <w:rFonts w:hint="eastAsia" w:ascii="宋体"/>
                <w:sz w:val="24"/>
                <w:szCs w:val="24"/>
              </w:rPr>
            </w:pP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结果维持</w:t>
            </w:r>
          </w:p>
        </w:tc>
        <w:tc>
          <w:tcPr>
            <w:tcW w:w="9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果</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纠</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正</w:t>
            </w:r>
          </w:p>
        </w:tc>
        <w:tc>
          <w:tcPr>
            <w:tcW w:w="5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其他结果</w:t>
            </w:r>
          </w:p>
        </w:tc>
        <w:tc>
          <w:tcPr>
            <w:tcW w:w="5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尚未审结</w:t>
            </w:r>
          </w:p>
        </w:tc>
        <w:tc>
          <w:tcPr>
            <w:tcW w:w="57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总计</w:t>
            </w:r>
          </w:p>
        </w:tc>
        <w:tc>
          <w:tcPr>
            <w:tcW w:w="55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结果维持</w:t>
            </w:r>
          </w:p>
        </w:tc>
        <w:tc>
          <w:tcPr>
            <w:tcW w:w="55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结果纠正</w:t>
            </w:r>
          </w:p>
        </w:tc>
        <w:tc>
          <w:tcPr>
            <w:tcW w:w="7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他</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果</w:t>
            </w:r>
          </w:p>
        </w:tc>
        <w:tc>
          <w:tcPr>
            <w:tcW w:w="7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尚</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未</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审</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结</w:t>
            </w:r>
          </w:p>
        </w:tc>
        <w:tc>
          <w:tcPr>
            <w:tcW w:w="5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总</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仿宋" w:hAnsi="仿宋" w:eastAsia="仿宋" w:cs="仿宋"/>
                <w:caps w:val="0"/>
                <w:spacing w:val="0"/>
                <w:kern w:val="0"/>
                <w:sz w:val="32"/>
                <w:szCs w:val="32"/>
              </w:rPr>
              <w:t>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92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7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c>
          <w:tcPr>
            <w:tcW w:w="5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hint="eastAsia" w:ascii="仿宋" w:hAnsi="仿宋" w:eastAsia="仿宋" w:cs="仿宋"/>
                <w:caps w:val="0"/>
                <w:spacing w:val="0"/>
                <w:kern w:val="0"/>
                <w:sz w:val="32"/>
                <w:szCs w:val="32"/>
              </w:rPr>
              <w:t> 0</w:t>
            </w:r>
          </w:p>
        </w:tc>
      </w:tr>
    </w:tbl>
    <w:p>
      <w:pPr>
        <w:pStyle w:val="2"/>
        <w:keepNext w:val="0"/>
        <w:keepLines w:val="0"/>
        <w:pageBreakBefore w:val="0"/>
        <w:widowControl/>
        <w:numPr>
          <w:ilvl w:val="0"/>
          <w:numId w:val="3"/>
        </w:numPr>
        <w:suppressLineNumbers w:val="0"/>
        <w:kinsoku/>
        <w:wordWrap w:val="0"/>
        <w:overflowPunct/>
        <w:topLinePunct w:val="0"/>
        <w:autoSpaceDE/>
        <w:autoSpaceDN/>
        <w:bidi w:val="0"/>
        <w:adjustRightInd/>
        <w:snapToGrid/>
        <w:spacing w:before="0" w:beforeAutospacing="0" w:after="0" w:afterAutospacing="0" w:line="560" w:lineRule="exact"/>
        <w:ind w:left="600" w:right="-110" w:firstLine="640"/>
        <w:jc w:val="lef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存在的主要问题及改进情况</w:t>
      </w:r>
    </w:p>
    <w:p>
      <w:pPr>
        <w:pStyle w:val="2"/>
        <w:keepNext w:val="0"/>
        <w:keepLines w:val="0"/>
        <w:pageBreakBefore w:val="0"/>
        <w:widowControl/>
        <w:numPr>
          <w:numId w:val="0"/>
        </w:numPr>
        <w:suppressLineNumbers w:val="0"/>
        <w:kinsoku/>
        <w:wordWrap w:val="0"/>
        <w:overflowPunct/>
        <w:topLinePunct w:val="0"/>
        <w:autoSpaceDE/>
        <w:autoSpaceDN/>
        <w:bidi w:val="0"/>
        <w:adjustRightInd/>
        <w:snapToGrid/>
        <w:spacing w:before="0" w:beforeAutospacing="0" w:after="0" w:afterAutospacing="0" w:line="560" w:lineRule="exact"/>
        <w:ind w:left="1240" w:leftChars="0" w:right="-110" w:rightChars="0"/>
        <w:jc w:val="left"/>
        <w:textAlignment w:val="auto"/>
      </w:pPr>
      <w:r>
        <w:rPr>
          <w:rFonts w:hint="eastAsia" w:ascii="仿宋" w:hAnsi="仿宋" w:eastAsia="仿宋" w:cs="仿宋"/>
          <w:bCs/>
          <w:kern w:val="0"/>
          <w:sz w:val="32"/>
          <w:szCs w:val="32"/>
        </w:rPr>
        <w:t>（一）存在的主要问题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110" w:firstLine="640"/>
        <w:jc w:val="left"/>
        <w:textAlignment w:val="auto"/>
      </w:pPr>
      <w:r>
        <w:rPr>
          <w:rFonts w:hint="eastAsia" w:ascii="仿宋" w:hAnsi="仿宋" w:eastAsia="仿宋" w:cs="仿宋"/>
          <w:kern w:val="0"/>
          <w:sz w:val="32"/>
          <w:szCs w:val="32"/>
        </w:rPr>
        <w:t>2021年在政府信息公开工作方面主要存在以下问题：</w:t>
      </w:r>
      <w:r>
        <w:rPr>
          <w:rFonts w:hint="eastAsia" w:ascii="仿宋" w:hAnsi="仿宋" w:eastAsia="仿宋" w:cs="仿宋"/>
          <w:b/>
          <w:bCs/>
          <w:kern w:val="0"/>
          <w:sz w:val="32"/>
          <w:szCs w:val="32"/>
        </w:rPr>
        <w:t>一是</w:t>
      </w:r>
      <w:r>
        <w:rPr>
          <w:rFonts w:hint="eastAsia" w:ascii="仿宋" w:hAnsi="仿宋" w:eastAsia="仿宋" w:cs="仿宋"/>
          <w:kern w:val="0"/>
          <w:sz w:val="32"/>
          <w:szCs w:val="32"/>
        </w:rPr>
        <w:t>从事政府信息公开工作的多为兼职人员，工作力量不足；</w:t>
      </w:r>
      <w:r>
        <w:rPr>
          <w:rFonts w:hint="eastAsia" w:ascii="仿宋" w:hAnsi="仿宋" w:eastAsia="仿宋" w:cs="仿宋"/>
          <w:b/>
          <w:bCs/>
          <w:kern w:val="0"/>
          <w:sz w:val="32"/>
          <w:szCs w:val="32"/>
        </w:rPr>
        <w:t>二是</w:t>
      </w:r>
      <w:r>
        <w:rPr>
          <w:rFonts w:hint="eastAsia" w:ascii="仿宋" w:hAnsi="仿宋" w:eastAsia="仿宋" w:cs="仿宋"/>
          <w:kern w:val="0"/>
          <w:sz w:val="32"/>
          <w:szCs w:val="32"/>
        </w:rPr>
        <w:t>社会公众参与度不高，政府信息公开栏目点击率不高；</w:t>
      </w:r>
      <w:r>
        <w:rPr>
          <w:rFonts w:hint="eastAsia" w:ascii="仿宋" w:hAnsi="仿宋" w:eastAsia="仿宋" w:cs="仿宋"/>
          <w:b/>
          <w:bCs/>
          <w:kern w:val="0"/>
          <w:sz w:val="32"/>
          <w:szCs w:val="32"/>
        </w:rPr>
        <w:t>三是</w:t>
      </w:r>
      <w:r>
        <w:rPr>
          <w:rFonts w:hint="eastAsia" w:ascii="仿宋" w:hAnsi="仿宋" w:eastAsia="仿宋" w:cs="仿宋"/>
          <w:kern w:val="0"/>
          <w:sz w:val="32"/>
          <w:szCs w:val="32"/>
        </w:rPr>
        <w:t>公开内容有待深化，信息公开占全年文件比例有待提高。</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110" w:firstLine="640"/>
        <w:jc w:val="left"/>
        <w:textAlignment w:val="auto"/>
      </w:pPr>
      <w:r>
        <w:rPr>
          <w:rFonts w:hint="eastAsia" w:ascii="仿宋" w:hAnsi="仿宋" w:eastAsia="仿宋" w:cs="仿宋"/>
          <w:bCs/>
          <w:kern w:val="0"/>
          <w:sz w:val="32"/>
          <w:szCs w:val="32"/>
        </w:rPr>
        <w:t>（二）改进措施</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110" w:firstLine="643"/>
        <w:jc w:val="left"/>
        <w:textAlignment w:val="auto"/>
      </w:pPr>
      <w:r>
        <w:rPr>
          <w:rFonts w:hint="eastAsia" w:ascii="仿宋" w:hAnsi="仿宋" w:eastAsia="仿宋" w:cs="仿宋"/>
          <w:b/>
          <w:bCs/>
          <w:kern w:val="0"/>
          <w:sz w:val="32"/>
          <w:szCs w:val="32"/>
        </w:rPr>
        <w:t>一是</w:t>
      </w:r>
      <w:r>
        <w:rPr>
          <w:rFonts w:hint="eastAsia" w:ascii="仿宋" w:hAnsi="仿宋" w:eastAsia="仿宋" w:cs="仿宋"/>
          <w:kern w:val="0"/>
          <w:sz w:val="32"/>
          <w:szCs w:val="32"/>
        </w:rPr>
        <w:t>开展业务培训。通过开展学习培训，进一步增强局属各部门和经办民警的信息公开意识，提高对政府信息公开的重视度和民警参与政府信息公开工作的积极性。</w:t>
      </w:r>
      <w:r>
        <w:rPr>
          <w:rFonts w:hint="eastAsia" w:ascii="仿宋" w:hAnsi="仿宋" w:eastAsia="仿宋" w:cs="仿宋"/>
          <w:b/>
          <w:bCs/>
          <w:kern w:val="0"/>
          <w:sz w:val="32"/>
          <w:szCs w:val="32"/>
        </w:rPr>
        <w:t>二是</w:t>
      </w:r>
      <w:r>
        <w:rPr>
          <w:rFonts w:hint="eastAsia" w:ascii="仿宋" w:hAnsi="仿宋" w:eastAsia="仿宋" w:cs="仿宋"/>
          <w:kern w:val="0"/>
          <w:sz w:val="32"/>
          <w:szCs w:val="32"/>
        </w:rPr>
        <w:t>强化宣传引导。通过宣传使群众能正确行使好权力，提高政府信息公开工作的效率。</w:t>
      </w:r>
      <w:r>
        <w:rPr>
          <w:rFonts w:hint="eastAsia" w:ascii="仿宋" w:hAnsi="仿宋" w:eastAsia="仿宋" w:cs="仿宋"/>
          <w:b/>
          <w:bCs/>
          <w:kern w:val="0"/>
          <w:sz w:val="32"/>
          <w:szCs w:val="32"/>
        </w:rPr>
        <w:t>三是</w:t>
      </w:r>
      <w:r>
        <w:rPr>
          <w:rFonts w:hint="eastAsia" w:ascii="仿宋" w:hAnsi="仿宋" w:eastAsia="仿宋" w:cs="仿宋"/>
          <w:kern w:val="0"/>
          <w:sz w:val="32"/>
          <w:szCs w:val="32"/>
        </w:rPr>
        <w:t>拓展公开内容。按照“以公开为原则，不公开为例外”的原则，在局属各部门报送的主动公开的政府信息中选择与民生密切相关、社会关注度高的政府信息及时发布，不断完善主动公开政府信息内容。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110" w:firstLine="640"/>
        <w:jc w:val="left"/>
        <w:textAlignment w:val="auto"/>
      </w:pPr>
      <w:r>
        <w:rPr>
          <w:rFonts w:hint="eastAsia" w:ascii="仿宋" w:hAnsi="仿宋" w:eastAsia="仿宋" w:cs="仿宋"/>
          <w:bCs/>
          <w:kern w:val="0"/>
          <w:sz w:val="32"/>
          <w:szCs w:val="32"/>
        </w:rPr>
        <w:t>六、其他需要报告的事项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110"/>
        <w:jc w:val="left"/>
        <w:textAlignment w:val="auto"/>
      </w:pPr>
      <w:r>
        <w:rPr>
          <w:rFonts w:hint="eastAsia" w:ascii="仿宋" w:hAnsi="仿宋" w:eastAsia="仿宋" w:cs="仿宋"/>
          <w:bCs/>
          <w:kern w:val="0"/>
          <w:sz w:val="32"/>
          <w:szCs w:val="32"/>
        </w:rPr>
        <w:t>   无收取信息处理费等其他需要报告的事项。</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600" w:right="0"/>
        <w:jc w:val="left"/>
        <w:textAlignment w:val="auto"/>
      </w:pPr>
      <w:r>
        <w:rPr>
          <w:rFonts w:hint="eastAsia" w:ascii="仿宋" w:hAnsi="仿宋" w:eastAsia="仿宋" w:cs="仿宋"/>
          <w:kern w:val="0"/>
          <w:sz w:val="32"/>
          <w:szCs w:val="32"/>
        </w:rPr>
        <w:t>   报告电子版可在石城县人民政府网站（年度报告）下载。如对本报告有任何疑问，请与我中心联系（地址：石城县东城南大道100号，电话：5712582，邮编342700）。</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1040" w:right="-110" w:firstLine="640"/>
        <w:jc w:val="left"/>
        <w:textAlignment w:val="auto"/>
      </w:pPr>
      <w:r>
        <w:rPr>
          <w:rFonts w:hint="eastAsia" w:ascii="仿宋" w:hAnsi="仿宋" w:eastAsia="仿宋" w:cs="仿宋"/>
          <w:kern w:val="0"/>
          <w:sz w:val="32"/>
          <w:szCs w:val="32"/>
        </w:rPr>
        <w:t>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446" w:right="-110" w:firstLine="640"/>
        <w:jc w:val="left"/>
        <w:textAlignment w:val="auto"/>
      </w:pPr>
      <w:r>
        <w:rPr>
          <w:rFonts w:hint="eastAsia" w:ascii="仿宋" w:hAnsi="仿宋" w:eastAsia="仿宋" w:cs="仿宋"/>
          <w:kern w:val="0"/>
          <w:sz w:val="32"/>
          <w:szCs w:val="32"/>
        </w:rPr>
        <w:t>                                                                           石城县公安</w:t>
      </w:r>
      <w:r>
        <w:rPr>
          <w:rFonts w:hint="eastAsia" w:ascii="仿宋" w:hAnsi="仿宋" w:eastAsia="仿宋" w:cs="仿宋"/>
          <w:kern w:val="0"/>
          <w:sz w:val="32"/>
          <w:szCs w:val="32"/>
          <w:lang w:eastAsia="zh-CN"/>
        </w:rPr>
        <w:t>局</w:t>
      </w:r>
      <w:r>
        <w:rPr>
          <w:rFonts w:hint="eastAsia" w:ascii="仿宋" w:hAnsi="仿宋" w:eastAsia="仿宋" w:cs="仿宋"/>
          <w:kern w:val="0"/>
          <w:sz w:val="32"/>
          <w:szCs w:val="32"/>
        </w:rPr>
        <w:t>                                    2022年1月19日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98DCC"/>
    <w:multiLevelType w:val="singleLevel"/>
    <w:tmpl w:val="FA798DCC"/>
    <w:lvl w:ilvl="0" w:tentative="0">
      <w:start w:val="1"/>
      <w:numFmt w:val="decimal"/>
      <w:lvlText w:val="%1."/>
      <w:lvlJc w:val="left"/>
      <w:pPr>
        <w:tabs>
          <w:tab w:val="left" w:pos="312"/>
        </w:tabs>
      </w:pPr>
    </w:lvl>
  </w:abstractNum>
  <w:abstractNum w:abstractNumId="1">
    <w:nsid w:val="1CFF1D95"/>
    <w:multiLevelType w:val="singleLevel"/>
    <w:tmpl w:val="1CFF1D95"/>
    <w:lvl w:ilvl="0" w:tentative="0">
      <w:start w:val="5"/>
      <w:numFmt w:val="chineseCounting"/>
      <w:suff w:val="nothing"/>
      <w:lvlText w:val="%1、"/>
      <w:lvlJc w:val="left"/>
      <w:rPr>
        <w:rFonts w:hint="eastAsia"/>
      </w:rPr>
    </w:lvl>
  </w:abstractNum>
  <w:abstractNum w:abstractNumId="2">
    <w:nsid w:val="6CAA63D8"/>
    <w:multiLevelType w:val="singleLevel"/>
    <w:tmpl w:val="6CAA63D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MWQ0NjUzOTBlYTZjZTI0Y2QxYzk3YTVhZjFhOWMifQ=="/>
  </w:docVars>
  <w:rsids>
    <w:rsidRoot w:val="383E6383"/>
    <w:rsid w:val="383E6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2023-06-25T01:09:00Z</dcterms:created>
  <dc:creator>楠木可依</dc:creator>
  <cp:lastModifiedBy>楠木可依</cp:lastModifiedBy>
  <dcterms:modified xsi:type="dcterms:W3CDTF">2023-06-25T01:24:35Z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5BCEAFE8C691444A810A74FC9A168559_11</vt:lpwstr>
  </property>
</Properties>
</file>